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8B" w:rsidRPr="0048024C" w:rsidRDefault="00AC6089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38658B" w:rsidRPr="0048024C" w:rsidRDefault="00AC6089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38658B" w:rsidRPr="0048024C" w:rsidRDefault="00AC6089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8B1088" w:rsidRPr="0048024C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7230B6" w:rsidRPr="0048024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B1088" w:rsidRPr="0048024C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="007230B6" w:rsidRPr="0048024C">
        <w:rPr>
          <w:rFonts w:ascii="Times New Roman" w:hAnsi="Times New Roman" w:cs="Times New Roman"/>
          <w:sz w:val="24"/>
          <w:szCs w:val="24"/>
          <w:lang w:val="sr-Cyrl-RS"/>
        </w:rPr>
        <w:t>-24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8B1088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38658B" w:rsidRPr="0048024C" w:rsidRDefault="00AC6089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AC6089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</w:t>
      </w:r>
    </w:p>
    <w:p w:rsidR="0038658B" w:rsidRPr="0048024C" w:rsidRDefault="00AC6089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DBORA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38658B" w:rsidRPr="0048024C" w:rsidRDefault="00AC6089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B1088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8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CS"/>
        </w:rPr>
        <w:t>počela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8B1088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00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8658B" w:rsidRPr="0048024C" w:rsidRDefault="0038658B" w:rsidP="0038658B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B1088" w:rsidRPr="0048024C" w:rsidRDefault="00AC6089" w:rsidP="008B108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Sednicom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predsedavao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8024C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8658B" w:rsidRPr="0048024C" w:rsidRDefault="00AC6089" w:rsidP="008B10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ednici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Bulatović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Ristović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Marić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</w:t>
      </w:r>
      <w:r w:rsid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Rističević</w:t>
      </w:r>
      <w:r w:rsid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Marko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Mladenović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Pantelić</w:t>
      </w:r>
      <w:r w:rsidR="00330A19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330A19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Denić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Dragana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Stojanović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Borislav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Novaković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Topalović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Dobrica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Veselinović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zamenica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Dijana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Radović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330A19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38658B" w:rsidRPr="0048024C" w:rsidRDefault="00D17427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Odobra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Sanela</w:t>
      </w:r>
      <w:r w:rsidR="00330A19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Strainović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CS"/>
        </w:rPr>
        <w:t>Aleksandar</w:t>
      </w:r>
      <w:r w:rsidR="0048024C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CS"/>
        </w:rPr>
        <w:t>Jovanović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C6089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CS"/>
        </w:rPr>
        <w:t>ni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30A19" w:rsidRPr="00CB1B94" w:rsidRDefault="00AC6089" w:rsidP="00CB1B94">
      <w:pPr>
        <w:spacing w:after="0" w:line="240" w:lineRule="auto"/>
        <w:ind w:firstLine="720"/>
        <w:jc w:val="both"/>
        <w:rPr>
          <w:rFonts w:ascii="Aptos" w:hAnsi="Aptos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</w:t>
      </w:r>
      <w:r w:rsidR="00CB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Pavkov</w:t>
      </w:r>
      <w:r w:rsidR="00CB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državna</w:t>
      </w:r>
      <w:r w:rsidR="00CB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sekretarka</w:t>
      </w:r>
      <w:r w:rsidR="00CB1B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Sandra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Dokić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državna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sekretarka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Imširagić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Đurić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pomoćnica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Zoran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Veljković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načelnik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odeljenja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procenu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uticaja</w:t>
      </w:r>
      <w:r w:rsidR="00330A19" w:rsidRPr="00CB1B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Sonja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Roglić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načelnik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odeljenja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hemikalije</w:t>
      </w:r>
      <w:r w:rsidR="00330A19" w:rsidRPr="00CB1B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Suzana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Milutinović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šef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odseka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zaštitu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velikog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hemijskog</w:t>
      </w:r>
      <w:r w:rsidR="00330A19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udesa</w:t>
      </w:r>
      <w:r w:rsidR="00330A19" w:rsidRPr="00CB1B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Miroslav</w:t>
      </w:r>
      <w:r w:rsid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Tošović</w:t>
      </w:r>
      <w:r w:rsidR="00CB1B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B1B94" w:rsidRPr="00CB1B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Milica</w:t>
      </w:r>
      <w:r w:rsidR="00CB1B94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Durać</w:t>
      </w:r>
      <w:r w:rsidR="00CB1B94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stručni</w:t>
      </w:r>
      <w:r w:rsidR="00CB1B94" w:rsidRPr="00CB1B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saradni</w:t>
      </w:r>
      <w:r>
        <w:rPr>
          <w:rFonts w:ascii="Times New Roman" w:hAnsi="Times New Roman" w:cs="Times New Roman"/>
          <w:sz w:val="24"/>
          <w:szCs w:val="24"/>
          <w:lang w:val="sr-Cyrl-RS"/>
        </w:rPr>
        <w:t>ci</w:t>
      </w:r>
      <w:r w:rsidR="00CB1B9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8658B" w:rsidRPr="0048024C" w:rsidRDefault="0038658B" w:rsidP="00386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8658B" w:rsidRPr="0048024C" w:rsidRDefault="00AC6089" w:rsidP="00386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38658B" w:rsidRPr="0048024C" w:rsidRDefault="0038658B" w:rsidP="00386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658B" w:rsidRPr="0048024C" w:rsidRDefault="00AC6089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38658B" w:rsidRPr="0048024C" w:rsidRDefault="0038658B" w:rsidP="00386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8024C" w:rsidRPr="0048024C" w:rsidRDefault="00AC6089" w:rsidP="0048024C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CS"/>
        </w:rPr>
        <w:t>Razmatranje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Predloga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zakona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o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potvrđivanju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Minamata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konvencije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o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živi</w:t>
      </w:r>
      <w:r w:rsidR="0048024C" w:rsidRPr="0048024C">
        <w:rPr>
          <w:lang w:val="sr-Cyrl-CS"/>
        </w:rPr>
        <w:t xml:space="preserve">, </w:t>
      </w:r>
      <w:r>
        <w:rPr>
          <w:lang w:val="sr-Cyrl-CS"/>
        </w:rPr>
        <w:t>koji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podnela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Vlada</w:t>
      </w:r>
      <w:r w:rsidR="0048024C" w:rsidRPr="0048024C">
        <w:rPr>
          <w:lang w:val="sr-Cyrl-RS"/>
        </w:rPr>
        <w:t>,</w:t>
      </w:r>
    </w:p>
    <w:p w:rsidR="0048024C" w:rsidRPr="0048024C" w:rsidRDefault="00AC6089" w:rsidP="0048024C">
      <w:pPr>
        <w:pStyle w:val="ListParagraph"/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Razmatranje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Predloga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zakona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o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proceni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uticaja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na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životnu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sredinu</w:t>
      </w:r>
      <w:r w:rsidR="0048024C" w:rsidRPr="0048024C">
        <w:rPr>
          <w:lang w:val="sr-Cyrl-CS"/>
        </w:rPr>
        <w:t xml:space="preserve">, </w:t>
      </w:r>
      <w:r>
        <w:rPr>
          <w:lang w:val="sr-Cyrl-CS"/>
        </w:rPr>
        <w:t>koji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podnela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Vlada</w:t>
      </w:r>
      <w:r w:rsidR="0048024C" w:rsidRPr="0048024C">
        <w:rPr>
          <w:lang w:val="sr-Cyrl-CS"/>
        </w:rPr>
        <w:t xml:space="preserve">, </w:t>
      </w:r>
      <w:r>
        <w:rPr>
          <w:lang w:val="sr-Cyrl-CS"/>
        </w:rPr>
        <w:t>u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načelu</w:t>
      </w:r>
      <w:r w:rsidR="0048024C" w:rsidRPr="0048024C">
        <w:rPr>
          <w:lang w:val="sr-Cyrl-CS"/>
        </w:rPr>
        <w:t>,</w:t>
      </w:r>
    </w:p>
    <w:p w:rsidR="0048024C" w:rsidRPr="0048024C" w:rsidRDefault="00AC6089" w:rsidP="0048024C">
      <w:pPr>
        <w:pStyle w:val="ListParagraph"/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Razmatranje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Predloga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zakona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o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strateškoj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proceni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uticaja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na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životnu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sredinu</w:t>
      </w:r>
      <w:r w:rsidR="0048024C" w:rsidRPr="0048024C">
        <w:rPr>
          <w:lang w:val="sr-Cyrl-CS"/>
        </w:rPr>
        <w:t xml:space="preserve">, </w:t>
      </w:r>
      <w:r>
        <w:rPr>
          <w:lang w:val="sr-Cyrl-CS"/>
        </w:rPr>
        <w:t>koji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podnela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Vlada</w:t>
      </w:r>
      <w:r w:rsidR="0048024C" w:rsidRPr="0048024C">
        <w:rPr>
          <w:lang w:val="sr-Cyrl-CS"/>
        </w:rPr>
        <w:t xml:space="preserve">, </w:t>
      </w:r>
      <w:r>
        <w:rPr>
          <w:lang w:val="sr-Cyrl-CS"/>
        </w:rPr>
        <w:t>u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načelu</w:t>
      </w:r>
      <w:r w:rsidR="0048024C" w:rsidRPr="0048024C">
        <w:rPr>
          <w:lang w:val="sr-Cyrl-CS"/>
        </w:rPr>
        <w:t>,</w:t>
      </w:r>
    </w:p>
    <w:p w:rsidR="0048024C" w:rsidRDefault="00AC6089" w:rsidP="0048024C">
      <w:pPr>
        <w:pStyle w:val="ListParagraph"/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Razmatranje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Predloga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zakona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o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kontroli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opasnosti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od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velikih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udesa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koji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uključuju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opasne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supstance</w:t>
      </w:r>
      <w:r w:rsidR="0048024C" w:rsidRPr="0048024C">
        <w:rPr>
          <w:lang w:val="sr-Cyrl-CS"/>
        </w:rPr>
        <w:t xml:space="preserve">, </w:t>
      </w:r>
      <w:r>
        <w:rPr>
          <w:lang w:val="sr-Cyrl-CS"/>
        </w:rPr>
        <w:t>koji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podnela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Vlada</w:t>
      </w:r>
      <w:r w:rsidR="0048024C" w:rsidRPr="0048024C">
        <w:rPr>
          <w:lang w:val="sr-Cyrl-CS"/>
        </w:rPr>
        <w:t xml:space="preserve">, </w:t>
      </w:r>
      <w:r>
        <w:rPr>
          <w:lang w:val="sr-Cyrl-CS"/>
        </w:rPr>
        <w:t>u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načelu</w:t>
      </w:r>
      <w:r w:rsidR="0048024C" w:rsidRPr="0048024C">
        <w:rPr>
          <w:lang w:val="sr-Cyrl-CS"/>
        </w:rPr>
        <w:t>.</w:t>
      </w:r>
    </w:p>
    <w:p w:rsidR="0074571D" w:rsidRDefault="0074571D" w:rsidP="0074571D">
      <w:pPr>
        <w:rPr>
          <w:lang w:val="sr-Cyrl-CS"/>
        </w:rPr>
      </w:pPr>
    </w:p>
    <w:p w:rsidR="0074571D" w:rsidRPr="0074571D" w:rsidRDefault="00AC6089" w:rsidP="007457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prelaska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rad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utvrđenom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dnevnom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redu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bez</w:t>
      </w:r>
      <w:r w:rsidR="0074571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primedbi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9E2E1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usvojen</w:t>
      </w:r>
      <w:r w:rsidR="009E2E18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Zapisnik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prve</w:t>
      </w:r>
      <w:r w:rsidR="0074571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sednice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74571D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održane</w:t>
      </w:r>
      <w:r w:rsidR="0074571D">
        <w:rPr>
          <w:rFonts w:ascii="Times New Roman" w:eastAsia="Times New Roman" w:hAnsi="Times New Roman"/>
          <w:sz w:val="24"/>
          <w:szCs w:val="24"/>
        </w:rPr>
        <w:t xml:space="preserve"> 2.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apr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il</w:t>
      </w:r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202</w:t>
      </w:r>
      <w:r w:rsidR="0074571D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godine</w:t>
      </w:r>
      <w:proofErr w:type="gramEnd"/>
      <w:r w:rsidR="0074571D" w:rsidRPr="0074571D">
        <w:rPr>
          <w:rFonts w:ascii="Times New Roman" w:eastAsia="Times New Roman" w:hAnsi="Times New Roman"/>
          <w:sz w:val="24"/>
          <w:szCs w:val="24"/>
        </w:rPr>
        <w:t>.</w:t>
      </w:r>
    </w:p>
    <w:p w:rsidR="0074571D" w:rsidRDefault="0074571D" w:rsidP="0074571D">
      <w:pPr>
        <w:ind w:left="720"/>
        <w:rPr>
          <w:lang w:val="sr-Cyrl-CS"/>
        </w:rPr>
      </w:pPr>
    </w:p>
    <w:p w:rsidR="00387217" w:rsidRPr="00387217" w:rsidRDefault="00387217" w:rsidP="0038721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prelaska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utvrđenom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redu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76.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zajednički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načelni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pretres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dnevnog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spajanje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87217" w:rsidRPr="00387217" w:rsidRDefault="00387217" w:rsidP="00387217">
      <w:pPr>
        <w:jc w:val="both"/>
        <w:rPr>
          <w:rFonts w:ascii="Times New Roman" w:hAnsi="Times New Roman" w:cs="Times New Roman"/>
          <w:lang w:val="sr-Cyrl-CS"/>
        </w:rPr>
      </w:pPr>
      <w:r w:rsidRPr="003872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hAnsi="Times New Roman" w:cs="Times New Roman"/>
          <w:sz w:val="24"/>
          <w:szCs w:val="24"/>
          <w:u w:val="single"/>
          <w:lang w:val="sr-Cyrl-RS"/>
        </w:rPr>
        <w:t>Zajednički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u w:val="single"/>
          <w:lang w:val="sr-Cyrl-RS"/>
        </w:rPr>
        <w:t>načelni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u w:val="single"/>
          <w:lang w:val="sr-Cyrl-RS"/>
        </w:rPr>
        <w:t>pretres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u w:val="single"/>
          <w:lang w:val="sr-Cyrl-RS"/>
        </w:rPr>
        <w:t>o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u w:val="single"/>
          <w:lang w:val="sr-Cyrl-RS"/>
        </w:rPr>
        <w:t>svim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tačkama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AC6089"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Predloga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potvrđivanju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Minamata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konvencije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živi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podnela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Vlada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Predloga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proceni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uticaja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na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životnu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sredinu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podnela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Vlada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u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načelu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Predloga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strateškoj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proceni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uticaja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na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životnu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sredinu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podnela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Vlada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u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načelu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Predloga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kontroli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opasnosti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od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velikih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udesa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uključuju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opasne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supstance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podnela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Vlada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u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6089">
        <w:rPr>
          <w:rFonts w:ascii="Times New Roman" w:hAnsi="Times New Roman" w:cs="Times New Roman"/>
          <w:b/>
          <w:sz w:val="24"/>
          <w:szCs w:val="24"/>
          <w:lang w:val="sr-Cyrl-CS"/>
        </w:rPr>
        <w:t>načelu</w:t>
      </w:r>
    </w:p>
    <w:p w:rsidR="00636275" w:rsidRDefault="00AC6089" w:rsidP="006362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Uvodne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napomene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iznela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Sandra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Dokić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državna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sekretarka</w:t>
      </w:r>
      <w:r w:rsidR="0038721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3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>stakla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26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26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osim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Minamata</w:t>
      </w:r>
      <w:r w:rsidR="00775003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775003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636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636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36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najvećoj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usklađivanje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standardima</w:t>
      </w:r>
      <w:r w:rsidR="006362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direktivama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636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Minamata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živi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potvrđuje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konvencija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Ujedinjenih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nacija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povezana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standardima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636275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217F7" w:rsidRDefault="002217F7" w:rsidP="006362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17F7" w:rsidRPr="0044562B" w:rsidRDefault="00AC6089" w:rsidP="002217F7">
      <w:pPr>
        <w:spacing w:after="0"/>
        <w:ind w:firstLine="720"/>
        <w:jc w:val="both"/>
        <w:rPr>
          <w:rFonts w:ascii="Times New Roman" w:hAnsi="Times New Roman" w:cs="Times New Roman"/>
          <w:kern w:val="24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2217F7" w:rsidRPr="00FB133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2217F7" w:rsidRPr="00FB133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strateškoj</w:t>
      </w:r>
      <w:r w:rsidR="002217F7" w:rsidRPr="00FB133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proceni</w:t>
      </w:r>
      <w:r w:rsidR="002217F7" w:rsidRPr="00FB133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uticaja</w:t>
      </w:r>
      <w:r w:rsidR="002217F7" w:rsidRPr="00FB133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na</w:t>
      </w:r>
      <w:r w:rsidR="002217F7" w:rsidRPr="00FB133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životnu</w:t>
      </w:r>
      <w:r w:rsidR="002217F7" w:rsidRPr="00FB133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sredinu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izrade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implementacije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dostizanje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većeg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stepena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usaglašenosti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Direktivom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2001/442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Usaglašavanje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prvenstveno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hijerarhijski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usklađenost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ostalim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planovima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izbegavanje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dvostruke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nivo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obim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usaglašavanja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prirode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413F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ocenu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jasnije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definisanje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obaveštavanje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uticaja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baze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centralnog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veb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portala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kojeg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obaveštavati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zainteresovane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pokrenutim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usvojila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prirode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usklađivanje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odredaba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7750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dokumentom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Jasno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definisan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postupak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javne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rasprave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kao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način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obaveštavanja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javnosti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>.</w:t>
      </w:r>
    </w:p>
    <w:p w:rsidR="002217F7" w:rsidRPr="0044562B" w:rsidRDefault="00AC6089" w:rsidP="002217F7">
      <w:pPr>
        <w:spacing w:after="0"/>
        <w:ind w:firstLine="720"/>
        <w:jc w:val="both"/>
        <w:rPr>
          <w:rFonts w:ascii="Times New Roman" w:hAnsi="Times New Roman" w:cs="Times New Roman"/>
          <w:kern w:val="24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Skrenula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pažnju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to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ovaj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Predlog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zakona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sadrži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pet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poglavlja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dva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priloga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koji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važan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sastavni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deo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>.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Prvi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prilog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se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bavi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kriterijumima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utvrđivanje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mogućih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značajnih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neposrednih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posrednih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uticaja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životnu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sredinu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osnovu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kojih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donosi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odluka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potrebi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izrade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strateške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procene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određuju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pitanja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problemi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bitni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podaci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koje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izveštaj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mora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da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sadrži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drugom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prilogu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nalaze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kriterijumi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ocenu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izveštaja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proceni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osnovu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kojih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daje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saglasnost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izveštaj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proceni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Prilikom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donošenja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prostornih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urbanističkih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planova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potrebno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sprovede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procena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toga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koji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način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će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ti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prostorni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planovi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strategije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programi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imati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uticaj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životnu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sredinu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prilikom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njihove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implementacije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skladu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Direktivom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postoje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određeni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izuzeci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kada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radi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strateška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procena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uticaja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npr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kad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radi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planovima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programima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namenjenim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za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odbranu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zemlje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ublažavanje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otklanjanje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posledica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elementarne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nepogode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finansijskim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budžetskim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planovima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planovima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razvoja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investicionim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planovima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koji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donose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osnovu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planskog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sistema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Kada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radi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strateška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procena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uticaja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novina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uzima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obzir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ocena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prihvatljivosti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ekološku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mrežu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.      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</w:p>
    <w:p w:rsidR="002217F7" w:rsidRPr="0044562B" w:rsidRDefault="00AC6089" w:rsidP="002217F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Govoreći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izazove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sredinu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različitih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zahtevaju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uspostavlja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odobravanje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podležu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oceni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prihvatljivosti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ekološku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planovima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manjih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površina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lokalnom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manjih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217F7" w:rsidRDefault="00AC6089" w:rsidP="002217F7">
      <w:pPr>
        <w:spacing w:after="0"/>
        <w:ind w:firstLine="720"/>
        <w:jc w:val="both"/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uticaja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faze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pripremnoj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fazi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najznačajnije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obaveštavanje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nadležan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republičkom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pokrajinskom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lokalnom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obavezno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uključuje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ocenu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prihvatljivosti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procena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Predviđen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izrađivača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zainteresovani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dužan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zainteresovanih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zatraži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zveštaj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o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strateškoj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proceni</w:t>
      </w:r>
      <w:r w:rsidR="002217F7" w:rsidRPr="0044562B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koji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čini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drugu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fazu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je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ste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dokument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kojim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se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utvrđuju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opisuju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vrednuju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i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procenjuju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značajni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uticaji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na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činioce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životne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sredine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do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kojih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može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dođe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sprovođenjem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plana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i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programa</w:t>
      </w:r>
      <w:r w:rsidR="002217F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i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određuju</w:t>
      </w:r>
      <w:r w:rsidR="002217F7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mere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za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sprečavanje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i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smanjenje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procenjenih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negativnih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uticaja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na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životnu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sredinu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>Novina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izveštaj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o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proceni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treba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sadrži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>glavnu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>ocenu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>prihvatljivosti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>netehnički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>rezime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>Netehnički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>rezime</w:t>
      </w:r>
      <w:r w:rsidR="002217F7" w:rsidRPr="0044562B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sadrži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pregled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informacija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najvažnijih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rezultata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izveštaja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o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proceni</w:t>
      </w:r>
      <w:r w:rsidR="002217F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na</w:t>
      </w:r>
      <w:r w:rsidR="002217F7" w:rsidRPr="0044562B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način</w:t>
      </w:r>
      <w:r w:rsidR="002217F7" w:rsidRPr="0044562B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razumljiv</w:t>
      </w:r>
      <w:r w:rsidR="002217F7" w:rsidRPr="0044562B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>javnosti</w:t>
      </w:r>
      <w:r w:rsidR="002217F7" w:rsidRPr="0044562B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val="sr-Cyrl-RS"/>
        </w:rPr>
        <w:t>Izveštaj</w:t>
      </w:r>
      <w:r w:rsidR="002217F7" w:rsidRPr="0044562B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val="sr-Cyrl-RS"/>
        </w:rPr>
        <w:t>o</w:t>
      </w:r>
      <w:r w:rsidR="002217F7" w:rsidRPr="0044562B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val="sr-Cyrl-RS"/>
        </w:rPr>
        <w:t>proceni</w:t>
      </w:r>
      <w:r w:rsidR="002217F7" w:rsidRPr="0044562B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val="sr-Cyrl-RS"/>
        </w:rPr>
        <w:t>sadrži</w:t>
      </w:r>
      <w:r w:rsidR="002217F7" w:rsidRPr="0044562B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val="sr-Cyrl-RS"/>
        </w:rPr>
        <w:t>: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p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olazne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osnove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strateške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procene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opšte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posebne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ciljeve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i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izbor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indikatora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redlog</w:t>
      </w:r>
      <w:r w:rsidR="002217F7" w:rsidRPr="00757062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mera</w:t>
      </w:r>
      <w:r w:rsidR="002217F7" w:rsidRPr="00757062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predviđenih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za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sprečavanje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i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smanjenje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procenjenih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negativnih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uticaja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na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životnu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sredinu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smernice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za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niže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hijerarhijske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nivoe</w:t>
      </w:r>
      <w:r w:rsidR="002217F7" w:rsidRPr="00757062">
        <w:rPr>
          <w:rFonts w:ascii="Times New Roman" w:hAnsi="Times New Roman" w:cs="Times New Roman"/>
          <w:kern w:val="24"/>
          <w:sz w:val="24"/>
          <w:szCs w:val="24"/>
          <w:lang w:val="sr-Cyrl-RS"/>
        </w:rPr>
        <w:t>,</w:t>
      </w:r>
      <w:r w:rsidR="002217F7" w:rsidRPr="00757062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program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praćenja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stanja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životne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sredine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u</w:t>
      </w:r>
      <w:r w:rsidR="002217F7" w:rsidRPr="00757062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toku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sprovođenja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plana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programa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757062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netehnički</w:t>
      </w:r>
      <w:r w:rsidR="002217F7" w:rsidRPr="00757062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rezime</w:t>
      </w:r>
      <w:r w:rsidR="002217F7" w:rsidRPr="00757062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 xml:space="preserve">. </w:t>
      </w:r>
      <w:r w:rsidR="002217F7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 w:rsidR="00413F16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 w:rsidR="002217F7" w:rsidRPr="00757062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 xml:space="preserve"> </w:t>
      </w:r>
    </w:p>
    <w:p w:rsidR="002217F7" w:rsidRDefault="00AC6089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Naznačila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postupku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odlučivanja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neophodno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dostavi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izveštaj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proceni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obrazuje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komisija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obezbedi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mišljenje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da</w:t>
      </w:r>
      <w:r w:rsidR="00413F16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se</w:t>
      </w:r>
      <w:r w:rsidR="00413F16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uz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izveštaj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obavezno</w:t>
      </w:r>
      <w:r w:rsidR="00413F16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dostavi</w:t>
      </w:r>
      <w:r w:rsidR="00413F16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nacrt</w:t>
      </w:r>
      <w:r w:rsidR="00413F16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plana</w:t>
      </w:r>
      <w:r w:rsidR="00413F16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413F16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programa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Značajna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novina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traži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mišljenje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od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organa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nadležnog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sprovođenje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postupka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ocene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prihvatljivosti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dobijanje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mišljenja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potrebno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organ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nadležan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pripremu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plana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programa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dostavi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nacrt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plana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programa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Kada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organ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dobije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zahtev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davanje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mišljenja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izveštaj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tada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obrazuje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stručnu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komisiju</w:t>
      </w:r>
      <w:r w:rsidR="002217F7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koja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sastoji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od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zaposlenih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postavljenih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lica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nezavisnih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stručnjaka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koji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moraju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ispunjavaju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određene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kvalifikcije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Način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izbora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rada</w:t>
      </w:r>
      <w:r w:rsidR="002217F7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stručne</w:t>
      </w:r>
      <w:r w:rsidR="002217F7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komisije</w:t>
      </w:r>
      <w:r w:rsidR="002217F7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propisuje</w:t>
      </w:r>
      <w:r w:rsidR="002217F7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Ministarstvo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Kada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stručna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komisija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razmotri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oceni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izveštaj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strateškoj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proceni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uticaja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ta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ocena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postaje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sastavni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deo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mišljenja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organa</w:t>
      </w:r>
      <w:r w:rsidR="002217F7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nadležnog</w:t>
      </w:r>
      <w:r w:rsidR="002217F7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za</w:t>
      </w:r>
      <w:r w:rsidR="002217F7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poslove</w:t>
      </w:r>
      <w:r w:rsidR="002217F7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zaštite</w:t>
      </w:r>
      <w:r w:rsidR="002217F7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životne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>sredine</w:t>
      </w:r>
      <w:r w:rsidR="002217F7" w:rsidRPr="0044562B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>N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a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osnovu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ocene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izveštaja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o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strateškoj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proceni</w:t>
      </w:r>
      <w:r w:rsidR="002217F7" w:rsidRPr="003E2294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organ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nadležan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za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poslove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zaštite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životne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sredine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daje</w:t>
      </w:r>
      <w:r w:rsidR="002217F7" w:rsidRPr="003E2294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saglasnost</w:t>
      </w:r>
      <w:r w:rsidR="002217F7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,</w:t>
      </w:r>
      <w:r w:rsidR="002217F7" w:rsidRPr="003E2294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ili</w:t>
      </w:r>
      <w:r w:rsidR="002217F7" w:rsidRPr="003E2294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odbija</w:t>
      </w:r>
      <w:r w:rsidR="002217F7" w:rsidRPr="003E2294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da</w:t>
      </w:r>
      <w:r w:rsidR="002217F7" w:rsidRPr="003E2294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da</w:t>
      </w:r>
      <w:r w:rsidR="002217F7" w:rsidRPr="003E2294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saglasnost</w:t>
      </w:r>
      <w:r w:rsidR="002217F7" w:rsidRPr="003E2294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na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navedeni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izveštaj</w:t>
      </w:r>
      <w:r w:rsidR="002217F7" w:rsidRPr="003E2294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A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ko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na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osnovu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sprovedene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ocene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prihvatljivosti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nadležn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organ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utvrdi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da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plan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i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program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može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imati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značajan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negativan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uticaj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na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ciljeve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očuvanja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i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celovitost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trike/>
          <w:kern w:val="24"/>
          <w:sz w:val="24"/>
          <w:szCs w:val="24"/>
          <w:lang w:val="sr-Cyrl-RS"/>
        </w:rPr>
        <w:t>e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kološke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mreže</w:t>
      </w:r>
      <w:r w:rsidR="002217F7" w:rsidRPr="003E229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dužan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je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da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odbije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zahtev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za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davanje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saglasnosti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na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izveštaj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strateškoj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proceni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  <w:r w:rsidR="002217F7" w:rsidRPr="003E22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</w:p>
    <w:p w:rsidR="002217F7" w:rsidRDefault="00AC6089" w:rsidP="002217F7">
      <w:pPr>
        <w:spacing w:after="0"/>
        <w:ind w:firstLine="720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Istakla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je</w:t>
      </w:r>
      <w:r w:rsidR="002217F7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kao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značajno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to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sve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strateške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procene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koje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rade</w:t>
      </w:r>
      <w:r w:rsidR="002217F7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moraju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uzmu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obzir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klimu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klimatske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promene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naročito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način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na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koji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ćemo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prilagoditi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promenama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koje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nastaju</w:t>
      </w:r>
      <w:r w:rsidR="002217F7" w:rsidRPr="0044562B">
        <w:rPr>
          <w:rFonts w:ascii="Times New Roman" w:hAnsi="Times New Roman" w:cs="Times New Roman"/>
          <w:color w:val="000000"/>
          <w:kern w:val="24"/>
          <w:sz w:val="24"/>
          <w:szCs w:val="24"/>
          <w:lang w:val="sr-Cyrl-RS"/>
        </w:rPr>
        <w:t>.</w:t>
      </w:r>
    </w:p>
    <w:p w:rsidR="002217F7" w:rsidRPr="003E2294" w:rsidRDefault="002217F7" w:rsidP="002217F7">
      <w:pPr>
        <w:spacing w:after="0"/>
        <w:ind w:firstLine="720"/>
        <w:jc w:val="both"/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</w:pPr>
    </w:p>
    <w:p w:rsidR="002217F7" w:rsidRDefault="00AC6089" w:rsidP="002217F7">
      <w:pPr>
        <w:pStyle w:val="NormalWeb"/>
        <w:spacing w:before="0" w:beforeAutospacing="0" w:after="0" w:afterAutospacing="0" w:line="276" w:lineRule="auto"/>
        <w:ind w:firstLine="533"/>
        <w:jc w:val="both"/>
        <w:rPr>
          <w:rFonts w:eastAsia="Calibri"/>
          <w:kern w:val="24"/>
          <w:lang w:val="sr-Cyrl-RS"/>
        </w:rPr>
      </w:pPr>
      <w:r>
        <w:rPr>
          <w:color w:val="000000"/>
          <w:kern w:val="24"/>
          <w:lang w:val="sr-Cyrl-RS"/>
        </w:rPr>
        <w:t>U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nastavku</w:t>
      </w:r>
      <w:r w:rsidR="002217F7">
        <w:rPr>
          <w:color w:val="000000"/>
          <w:kern w:val="24"/>
          <w:lang w:val="sr-Cyrl-RS"/>
        </w:rPr>
        <w:t>,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obrazlažući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b/>
          <w:color w:val="000000"/>
          <w:kern w:val="24"/>
          <w:lang w:val="sr-Cyrl-RS"/>
        </w:rPr>
        <w:t>Predlog</w:t>
      </w:r>
      <w:r w:rsidR="002217F7" w:rsidRPr="00FB133A">
        <w:rPr>
          <w:b/>
          <w:color w:val="000000"/>
          <w:kern w:val="24"/>
          <w:lang w:val="sr-Cyrl-RS"/>
        </w:rPr>
        <w:t xml:space="preserve"> </w:t>
      </w:r>
      <w:r>
        <w:rPr>
          <w:b/>
          <w:color w:val="000000"/>
          <w:kern w:val="24"/>
          <w:lang w:val="sr-Cyrl-RS"/>
        </w:rPr>
        <w:t>zakona</w:t>
      </w:r>
      <w:r w:rsidR="002217F7" w:rsidRPr="00FB133A">
        <w:rPr>
          <w:b/>
          <w:color w:val="000000"/>
          <w:kern w:val="24"/>
          <w:lang w:val="sr-Cyrl-RS"/>
        </w:rPr>
        <w:t xml:space="preserve"> </w:t>
      </w:r>
      <w:r>
        <w:rPr>
          <w:b/>
          <w:color w:val="000000"/>
          <w:kern w:val="24"/>
          <w:lang w:val="sr-Cyrl-RS"/>
        </w:rPr>
        <w:t>o</w:t>
      </w:r>
      <w:r w:rsidR="002217F7" w:rsidRPr="00FB133A">
        <w:rPr>
          <w:b/>
          <w:color w:val="000000"/>
          <w:kern w:val="24"/>
          <w:lang w:val="sr-Cyrl-RS"/>
        </w:rPr>
        <w:t xml:space="preserve"> </w:t>
      </w:r>
      <w:r>
        <w:rPr>
          <w:b/>
          <w:color w:val="000000"/>
          <w:kern w:val="24"/>
          <w:lang w:val="sr-Cyrl-RS"/>
        </w:rPr>
        <w:t>proceni</w:t>
      </w:r>
      <w:r w:rsidR="002217F7" w:rsidRPr="00FB133A">
        <w:rPr>
          <w:b/>
          <w:color w:val="000000"/>
          <w:kern w:val="24"/>
          <w:lang w:val="sr-Cyrl-RS"/>
        </w:rPr>
        <w:t xml:space="preserve"> </w:t>
      </w:r>
      <w:r>
        <w:rPr>
          <w:b/>
          <w:color w:val="000000"/>
          <w:kern w:val="24"/>
          <w:lang w:val="sr-Cyrl-RS"/>
        </w:rPr>
        <w:t>uticaja</w:t>
      </w:r>
      <w:r w:rsidR="002217F7" w:rsidRPr="00FB133A">
        <w:rPr>
          <w:b/>
          <w:color w:val="000000"/>
          <w:kern w:val="24"/>
          <w:lang w:val="sr-Cyrl-RS"/>
        </w:rPr>
        <w:t xml:space="preserve"> </w:t>
      </w:r>
      <w:r>
        <w:rPr>
          <w:b/>
          <w:color w:val="000000"/>
          <w:kern w:val="24"/>
          <w:lang w:val="sr-Cyrl-RS"/>
        </w:rPr>
        <w:t>na</w:t>
      </w:r>
      <w:r w:rsidR="002217F7" w:rsidRPr="00FB133A">
        <w:rPr>
          <w:b/>
          <w:color w:val="000000"/>
          <w:kern w:val="24"/>
          <w:lang w:val="sr-Cyrl-RS"/>
        </w:rPr>
        <w:t xml:space="preserve"> </w:t>
      </w:r>
      <w:r>
        <w:rPr>
          <w:b/>
          <w:color w:val="000000"/>
          <w:kern w:val="24"/>
          <w:lang w:val="sr-Cyrl-RS"/>
        </w:rPr>
        <w:t>životnu</w:t>
      </w:r>
      <w:r w:rsidR="002217F7" w:rsidRPr="00FB133A">
        <w:rPr>
          <w:b/>
          <w:color w:val="000000"/>
          <w:kern w:val="24"/>
          <w:lang w:val="sr-Cyrl-RS"/>
        </w:rPr>
        <w:t xml:space="preserve"> </w:t>
      </w:r>
      <w:r>
        <w:rPr>
          <w:b/>
          <w:color w:val="000000"/>
          <w:kern w:val="24"/>
          <w:lang w:val="sr-Cyrl-RS"/>
        </w:rPr>
        <w:t>sredinu</w:t>
      </w:r>
      <w:r w:rsidR="002217F7" w:rsidRPr="0044562B">
        <w:rPr>
          <w:color w:val="000000"/>
          <w:kern w:val="24"/>
          <w:lang w:val="sr-Cyrl-RS"/>
        </w:rPr>
        <w:t xml:space="preserve">, </w:t>
      </w:r>
      <w:r>
        <w:rPr>
          <w:color w:val="000000"/>
          <w:kern w:val="24"/>
          <w:lang w:val="sr-Cyrl-RS"/>
        </w:rPr>
        <w:t>istakla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je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da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je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primarni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cilj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njegovog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usvajanja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taj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da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postigne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što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veća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usaglašenost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standardima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lastRenderedPageBreak/>
        <w:t>Evropske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unije</w:t>
      </w:r>
      <w:r w:rsidR="002217F7" w:rsidRPr="0044562B">
        <w:rPr>
          <w:color w:val="000000"/>
          <w:kern w:val="24"/>
          <w:lang w:val="sr-Cyrl-RS"/>
        </w:rPr>
        <w:t xml:space="preserve">, </w:t>
      </w:r>
      <w:r>
        <w:rPr>
          <w:color w:val="000000"/>
          <w:kern w:val="24"/>
          <w:lang w:val="sr-Cyrl-RS"/>
        </w:rPr>
        <w:t>naročito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kada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sprovode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javni</w:t>
      </w:r>
      <w:r w:rsidR="002217F7">
        <w:rPr>
          <w:color w:val="000000"/>
          <w:kern w:val="24"/>
          <w:lang w:val="sr-Cyrl-RS"/>
        </w:rPr>
        <w:t>,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ili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privatni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projekti</w:t>
      </w:r>
      <w:r w:rsidR="002217F7" w:rsidRPr="0044562B">
        <w:rPr>
          <w:color w:val="000000"/>
          <w:kern w:val="24"/>
          <w:lang w:val="sr-Cyrl-RS"/>
        </w:rPr>
        <w:t xml:space="preserve">. </w:t>
      </w:r>
      <w:r>
        <w:rPr>
          <w:color w:val="000000"/>
          <w:kern w:val="24"/>
          <w:lang w:val="sr-Cyrl-RS"/>
        </w:rPr>
        <w:t>Iako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ovaj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zakon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već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postoji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od</w:t>
      </w:r>
      <w:r w:rsidR="002217F7" w:rsidRPr="0044562B">
        <w:rPr>
          <w:color w:val="000000"/>
          <w:kern w:val="24"/>
          <w:lang w:val="sr-Cyrl-RS"/>
        </w:rPr>
        <w:t xml:space="preserve"> 2004. </w:t>
      </w:r>
      <w:r>
        <w:rPr>
          <w:color w:val="000000"/>
          <w:kern w:val="24"/>
          <w:lang w:val="sr-Cyrl-RS"/>
        </w:rPr>
        <w:t>godine</w:t>
      </w:r>
      <w:r w:rsidR="002217F7" w:rsidRPr="0044562B">
        <w:rPr>
          <w:color w:val="000000"/>
          <w:kern w:val="24"/>
          <w:lang w:val="sr-Cyrl-RS"/>
        </w:rPr>
        <w:t xml:space="preserve">, </w:t>
      </w:r>
      <w:r>
        <w:rPr>
          <w:color w:val="000000"/>
          <w:kern w:val="24"/>
          <w:lang w:val="sr-Cyrl-RS"/>
        </w:rPr>
        <w:t>zbog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velikih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izmena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usklađivanja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je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neophodno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da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donese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potpuno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novi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zakon</w:t>
      </w:r>
      <w:r w:rsidR="002217F7" w:rsidRPr="0044562B">
        <w:rPr>
          <w:color w:val="000000"/>
          <w:kern w:val="24"/>
          <w:lang w:val="sr-Cyrl-RS"/>
        </w:rPr>
        <w:t>.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Pored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usklađivanja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Direktivom</w:t>
      </w:r>
      <w:r w:rsidR="002217F7" w:rsidRPr="0044562B">
        <w:rPr>
          <w:color w:val="000000"/>
          <w:kern w:val="24"/>
          <w:lang w:val="sr-Cyrl-RS"/>
        </w:rPr>
        <w:t xml:space="preserve">, </w:t>
      </w:r>
      <w:r>
        <w:rPr>
          <w:color w:val="000000"/>
          <w:kern w:val="24"/>
          <w:lang w:val="sr-Cyrl-RS"/>
        </w:rPr>
        <w:t>neophodno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je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da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usaglasi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drugim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propisima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iz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oblasti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zaštite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životne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sredine</w:t>
      </w:r>
      <w:r w:rsidR="002217F7">
        <w:rPr>
          <w:color w:val="000000"/>
          <w:kern w:val="24"/>
          <w:lang w:val="sr-Cyrl-RS"/>
        </w:rPr>
        <w:t>,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kao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propisima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koji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regulišu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oblast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planiranja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izgradnje</w:t>
      </w:r>
      <w:r w:rsidR="002217F7" w:rsidRPr="0044562B">
        <w:rPr>
          <w:color w:val="000000"/>
          <w:kern w:val="24"/>
          <w:lang w:val="sr-Cyrl-RS"/>
        </w:rPr>
        <w:t xml:space="preserve">, </w:t>
      </w:r>
      <w:r>
        <w:rPr>
          <w:color w:val="000000"/>
          <w:kern w:val="24"/>
          <w:lang w:val="sr-Cyrl-RS"/>
        </w:rPr>
        <w:t>oblasti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koje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odnose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na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geološka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istraživanja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eksploataciju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mineralnih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ruda</w:t>
      </w:r>
      <w:r w:rsidR="002217F7" w:rsidRPr="0044562B">
        <w:rPr>
          <w:kern w:val="24"/>
          <w:lang w:val="sr-Cyrl-RS"/>
        </w:rPr>
        <w:t xml:space="preserve"> </w:t>
      </w:r>
      <w:r>
        <w:rPr>
          <w:kern w:val="24"/>
          <w:lang w:val="sr-Cyrl-RS"/>
        </w:rPr>
        <w:t>kada</w:t>
      </w:r>
      <w:r w:rsidR="002217F7" w:rsidRPr="0044562B">
        <w:rPr>
          <w:kern w:val="24"/>
          <w:lang w:val="sr-Cyrl-RS"/>
        </w:rPr>
        <w:t xml:space="preserve"> </w:t>
      </w:r>
      <w:r>
        <w:rPr>
          <w:kern w:val="24"/>
          <w:lang w:val="sr-Cyrl-RS"/>
        </w:rPr>
        <w:t>se</w:t>
      </w:r>
      <w:r w:rsidR="002217F7" w:rsidRPr="0044562B">
        <w:rPr>
          <w:kern w:val="24"/>
          <w:lang w:val="sr-Cyrl-RS"/>
        </w:rPr>
        <w:t xml:space="preserve"> </w:t>
      </w:r>
      <w:r>
        <w:rPr>
          <w:kern w:val="24"/>
          <w:lang w:val="sr-Cyrl-RS"/>
        </w:rPr>
        <w:t>radi</w:t>
      </w:r>
      <w:r w:rsidR="002217F7" w:rsidRPr="0044562B">
        <w:rPr>
          <w:kern w:val="24"/>
          <w:lang w:val="sr-Cyrl-RS"/>
        </w:rPr>
        <w:t xml:space="preserve"> </w:t>
      </w:r>
      <w:r>
        <w:rPr>
          <w:kern w:val="24"/>
          <w:lang w:val="sr-Cyrl-RS"/>
        </w:rPr>
        <w:t>strateška</w:t>
      </w:r>
      <w:r w:rsidR="002217F7" w:rsidRPr="0044562B">
        <w:rPr>
          <w:kern w:val="24"/>
          <w:lang w:val="sr-Cyrl-RS"/>
        </w:rPr>
        <w:t xml:space="preserve"> </w:t>
      </w:r>
      <w:r>
        <w:rPr>
          <w:kern w:val="24"/>
          <w:lang w:val="sr-Cyrl-RS"/>
        </w:rPr>
        <w:t>procena</w:t>
      </w:r>
      <w:r w:rsidR="002217F7" w:rsidRPr="0044562B">
        <w:rPr>
          <w:kern w:val="24"/>
          <w:lang w:val="sr-Cyrl-RS"/>
        </w:rPr>
        <w:t xml:space="preserve"> </w:t>
      </w:r>
      <w:r>
        <w:rPr>
          <w:kern w:val="24"/>
          <w:lang w:val="sr-Cyrl-RS"/>
        </w:rPr>
        <w:t>uticaja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resursa</w:t>
      </w:r>
      <w:r w:rsidR="002217F7" w:rsidRPr="0044562B">
        <w:rPr>
          <w:color w:val="000000"/>
          <w:kern w:val="24"/>
          <w:lang w:val="sr-Cyrl-RS"/>
        </w:rPr>
        <w:t>.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Mehanizam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za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kordinaciju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različitih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postupaka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procene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uticaja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produžavanje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vremenskog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roka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javnog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uvida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Studiju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o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proceni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uticaja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je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oblast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kojoj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se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težilo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da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se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postigne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potpuno</w:t>
      </w:r>
      <w:r w:rsidR="002217F7">
        <w:rPr>
          <w:color w:val="000000"/>
          <w:kern w:val="24"/>
          <w:lang w:val="sr-Cyrl-RS"/>
        </w:rPr>
        <w:t xml:space="preserve"> </w:t>
      </w:r>
      <w:r>
        <w:rPr>
          <w:color w:val="000000"/>
          <w:kern w:val="24"/>
          <w:lang w:val="sr-Cyrl-RS"/>
        </w:rPr>
        <w:t>usklađivanje</w:t>
      </w:r>
      <w:r w:rsidR="002217F7" w:rsidRPr="0044562B">
        <w:rPr>
          <w:color w:val="000000"/>
          <w:kern w:val="24"/>
          <w:lang w:val="sr-Cyrl-RS"/>
        </w:rPr>
        <w:t xml:space="preserve">. </w:t>
      </w:r>
      <w:r>
        <w:rPr>
          <w:rFonts w:eastAsia="Calibri"/>
          <w:kern w:val="24"/>
          <w:lang w:val="sr-Cyrl-RS"/>
        </w:rPr>
        <w:t>N</w:t>
      </w:r>
      <w:r>
        <w:rPr>
          <w:rFonts w:eastAsia="Calibri"/>
          <w:kern w:val="24"/>
        </w:rPr>
        <w:t>adležni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organ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rFonts w:eastAsia="Calibri"/>
          <w:kern w:val="24"/>
        </w:rPr>
        <w:t>donosi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odluku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o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davanju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bCs/>
          <w:kern w:val="24"/>
        </w:rPr>
        <w:t>saglasnosti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na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  <w:lang w:val="sr-Cyrl-RS"/>
        </w:rPr>
        <w:t>s</w:t>
      </w:r>
      <w:r>
        <w:rPr>
          <w:rFonts w:eastAsia="Calibri"/>
          <w:kern w:val="24"/>
        </w:rPr>
        <w:t>tudiju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o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proceni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uticaja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projekta</w:t>
      </w:r>
      <w:r w:rsidR="002217F7">
        <w:rPr>
          <w:rFonts w:eastAsia="Calibri"/>
          <w:kern w:val="24"/>
          <w:lang w:val="sr-Cyrl-RS"/>
        </w:rPr>
        <w:t>,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ili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o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bCs/>
          <w:kern w:val="24"/>
        </w:rPr>
        <w:t>odbijanju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rFonts w:eastAsia="Calibri"/>
          <w:kern w:val="24"/>
        </w:rPr>
        <w:t>zahteva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za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davanje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saglasnosti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na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>studiju</w:t>
      </w:r>
      <w:r w:rsidR="002217F7" w:rsidRPr="0044562B">
        <w:rPr>
          <w:rFonts w:eastAsia="Calibri"/>
          <w:kern w:val="24"/>
        </w:rPr>
        <w:t xml:space="preserve">, </w:t>
      </w:r>
      <w:r>
        <w:rPr>
          <w:rFonts w:eastAsia="Calibri"/>
          <w:bCs/>
          <w:kern w:val="24"/>
        </w:rPr>
        <w:t>na</w:t>
      </w:r>
      <w:r w:rsidR="002217F7" w:rsidRPr="0044562B">
        <w:rPr>
          <w:rFonts w:eastAsia="Calibri"/>
          <w:bCs/>
          <w:kern w:val="24"/>
        </w:rPr>
        <w:t xml:space="preserve"> </w:t>
      </w:r>
      <w:r>
        <w:rPr>
          <w:rFonts w:eastAsia="Calibri"/>
          <w:bCs/>
          <w:kern w:val="24"/>
        </w:rPr>
        <w:t>osnovu</w:t>
      </w:r>
      <w:r w:rsidR="002217F7" w:rsidRPr="0044562B">
        <w:rPr>
          <w:rFonts w:eastAsia="Calibri"/>
          <w:bCs/>
          <w:kern w:val="24"/>
        </w:rPr>
        <w:t xml:space="preserve"> </w:t>
      </w:r>
      <w:r>
        <w:rPr>
          <w:rFonts w:eastAsia="Calibri"/>
          <w:bCs/>
          <w:kern w:val="24"/>
        </w:rPr>
        <w:t>sprovedenog</w:t>
      </w:r>
      <w:r w:rsidR="002217F7" w:rsidRPr="0044562B">
        <w:rPr>
          <w:rFonts w:eastAsia="Calibri"/>
          <w:bCs/>
          <w:kern w:val="24"/>
        </w:rPr>
        <w:t xml:space="preserve"> </w:t>
      </w:r>
      <w:r>
        <w:rPr>
          <w:rFonts w:eastAsia="Calibri"/>
          <w:bCs/>
          <w:kern w:val="24"/>
        </w:rPr>
        <w:t>postupka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javnih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i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prekograničnih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konsultacija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 w:rsidR="00C72390">
        <w:rPr>
          <w:rFonts w:eastAsia="Calibri"/>
          <w:bCs/>
          <w:kern w:val="24"/>
          <w:lang w:val="sr-Cyrl-RS"/>
        </w:rPr>
        <w:t>(</w:t>
      </w:r>
      <w:r>
        <w:rPr>
          <w:rFonts w:eastAsia="Calibri"/>
          <w:kern w:val="24"/>
          <w:lang w:val="sr-Cyrl-RS"/>
        </w:rPr>
        <w:t>ako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su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sprovedene</w:t>
      </w:r>
      <w:r w:rsidR="00C72390">
        <w:rPr>
          <w:rFonts w:eastAsia="Calibri"/>
          <w:kern w:val="24"/>
          <w:lang w:val="sr-Cyrl-RS"/>
        </w:rPr>
        <w:t>)</w:t>
      </w:r>
      <w:r w:rsidR="002217F7" w:rsidRPr="0044562B">
        <w:rPr>
          <w:rFonts w:eastAsia="Calibri"/>
          <w:kern w:val="24"/>
          <w:lang w:val="sr-Cyrl-RS"/>
        </w:rPr>
        <w:t xml:space="preserve">, </w:t>
      </w:r>
      <w:r>
        <w:rPr>
          <w:rFonts w:eastAsia="Calibri"/>
          <w:kern w:val="24"/>
        </w:rPr>
        <w:t>i</w:t>
      </w:r>
      <w:r w:rsidR="002217F7" w:rsidRPr="0044562B">
        <w:rPr>
          <w:rFonts w:eastAsia="Calibri"/>
          <w:kern w:val="24"/>
        </w:rPr>
        <w:t xml:space="preserve"> </w:t>
      </w:r>
      <w:r>
        <w:rPr>
          <w:rFonts w:eastAsia="Calibri"/>
          <w:bCs/>
          <w:kern w:val="24"/>
        </w:rPr>
        <w:t>izveštaja</w:t>
      </w:r>
      <w:r w:rsidR="002217F7" w:rsidRPr="0044562B">
        <w:rPr>
          <w:rFonts w:eastAsia="Calibri"/>
          <w:bCs/>
          <w:kern w:val="24"/>
        </w:rPr>
        <w:t xml:space="preserve"> </w:t>
      </w:r>
      <w:r>
        <w:rPr>
          <w:rFonts w:eastAsia="Calibri"/>
          <w:bCs/>
          <w:kern w:val="24"/>
        </w:rPr>
        <w:t>tehničke</w:t>
      </w:r>
      <w:r w:rsidR="002217F7" w:rsidRPr="0044562B">
        <w:rPr>
          <w:rFonts w:eastAsia="Calibri"/>
          <w:bCs/>
          <w:kern w:val="24"/>
        </w:rPr>
        <w:t xml:space="preserve"> </w:t>
      </w:r>
      <w:r>
        <w:rPr>
          <w:rFonts w:eastAsia="Calibri"/>
          <w:bCs/>
          <w:kern w:val="24"/>
        </w:rPr>
        <w:t>komisije</w:t>
      </w:r>
      <w:r w:rsidR="002217F7">
        <w:rPr>
          <w:rFonts w:eastAsia="Calibri"/>
          <w:bCs/>
          <w:kern w:val="24"/>
          <w:lang w:val="sr-Cyrl-RS"/>
        </w:rPr>
        <w:t>,</w:t>
      </w:r>
      <w:r w:rsidR="002217F7" w:rsidRPr="0044562B">
        <w:rPr>
          <w:rFonts w:eastAsia="Calibri"/>
          <w:bCs/>
          <w:kern w:val="24"/>
        </w:rPr>
        <w:t xml:space="preserve"> </w:t>
      </w:r>
      <w:r>
        <w:rPr>
          <w:rFonts w:eastAsia="Calibri"/>
          <w:kern w:val="24"/>
          <w:lang w:val="sr-Cyrl-RS"/>
        </w:rPr>
        <w:t>čime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je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formalizovan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postupak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donosi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sveobuhvatni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dokument</w:t>
      </w:r>
      <w:r w:rsidR="002217F7" w:rsidRPr="0044562B">
        <w:rPr>
          <w:rFonts w:eastAsia="Calibri"/>
          <w:kern w:val="24"/>
          <w:lang w:val="sr-Cyrl-RS"/>
        </w:rPr>
        <w:t xml:space="preserve">. </w:t>
      </w:r>
    </w:p>
    <w:p w:rsidR="002217F7" w:rsidRPr="0044562B" w:rsidRDefault="00AC6089" w:rsidP="002217F7">
      <w:pPr>
        <w:pStyle w:val="NormalWeb"/>
        <w:spacing w:before="0" w:beforeAutospacing="0" w:after="0" w:afterAutospacing="0" w:line="276" w:lineRule="auto"/>
        <w:ind w:firstLine="533"/>
        <w:jc w:val="both"/>
        <w:rPr>
          <w:color w:val="000000"/>
          <w:kern w:val="24"/>
          <w:lang w:val="sr-Cyrl-RS"/>
        </w:rPr>
      </w:pPr>
      <w:r>
        <w:rPr>
          <w:rFonts w:eastAsia="Calibri"/>
          <w:bCs/>
          <w:kern w:val="24"/>
          <w:lang w:val="sr-Cyrl-RS"/>
        </w:rPr>
        <w:t>Istakla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je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da</w:t>
      </w:r>
      <w:r w:rsidR="002217F7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je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primena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ovog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zakona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u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praksi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dovela</w:t>
      </w:r>
      <w:r w:rsidR="002217F7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do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određenih</w:t>
      </w:r>
      <w:r w:rsidR="002217F7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nedoumica</w:t>
      </w:r>
      <w:r w:rsidR="002217F7" w:rsidRPr="0044562B">
        <w:rPr>
          <w:rFonts w:eastAsia="Calibri"/>
          <w:bCs/>
          <w:kern w:val="24"/>
          <w:lang w:val="sr-Cyrl-RS"/>
        </w:rPr>
        <w:t xml:space="preserve">, </w:t>
      </w:r>
      <w:r>
        <w:rPr>
          <w:rFonts w:eastAsia="Calibri"/>
          <w:bCs/>
          <w:kern w:val="24"/>
          <w:lang w:val="sr-Cyrl-RS"/>
        </w:rPr>
        <w:t>pa</w:t>
      </w:r>
      <w:r w:rsidR="002217F7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je</w:t>
      </w:r>
      <w:r w:rsidR="00C72390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Predlogom</w:t>
      </w:r>
      <w:r w:rsidR="00C72390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zakona</w:t>
      </w:r>
      <w:r w:rsidR="002217F7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između</w:t>
      </w:r>
      <w:r w:rsidR="002217F7" w:rsidRPr="0044562B">
        <w:rPr>
          <w:rFonts w:eastAsia="Calibri"/>
          <w:bCs/>
          <w:kern w:val="24"/>
          <w:lang w:val="sr-Cyrl-RS"/>
        </w:rPr>
        <w:t xml:space="preserve"> </w:t>
      </w:r>
      <w:r>
        <w:rPr>
          <w:rFonts w:eastAsia="Calibri"/>
          <w:bCs/>
          <w:kern w:val="24"/>
          <w:lang w:val="sr-Cyrl-RS"/>
        </w:rPr>
        <w:t>ostalog</w:t>
      </w:r>
      <w:r w:rsidR="002217F7">
        <w:rPr>
          <w:rFonts w:eastAsia="Calibri"/>
          <w:bCs/>
          <w:kern w:val="24"/>
          <w:lang w:val="sr-Cyrl-RS"/>
        </w:rPr>
        <w:t>,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rešeno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pitanje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kumulativnog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dejstva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projekta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drugim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projektima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koje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sam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nosilac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projekta</w:t>
      </w:r>
      <w:r w:rsidR="002217F7">
        <w:rPr>
          <w:rFonts w:eastAsia="Calibri"/>
          <w:kern w:val="24"/>
          <w:lang w:val="sr-Cyrl-RS"/>
        </w:rPr>
        <w:t>,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ili</w:t>
      </w:r>
      <w:r w:rsidR="002217F7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treće</w:t>
      </w:r>
      <w:r w:rsidR="002217F7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lice</w:t>
      </w:r>
      <w:r w:rsidR="002217F7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planiraju</w:t>
      </w:r>
      <w:r w:rsidR="002217F7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da</w:t>
      </w:r>
      <w:r w:rsidR="002217F7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urade</w:t>
      </w:r>
      <w:r w:rsidR="002217F7">
        <w:rPr>
          <w:rFonts w:eastAsia="Calibri"/>
          <w:kern w:val="24"/>
          <w:lang w:val="sr-Cyrl-RS"/>
        </w:rPr>
        <w:t xml:space="preserve">, </w:t>
      </w:r>
      <w:r>
        <w:rPr>
          <w:rFonts w:eastAsia="Calibri"/>
          <w:kern w:val="24"/>
          <w:lang w:val="sr-Cyrl-RS"/>
        </w:rPr>
        <w:t>jer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dešavalo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više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manjih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projekata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nemaju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značajno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dejstvo</w:t>
      </w:r>
      <w:r w:rsidR="002217F7" w:rsidRPr="0044562B">
        <w:rPr>
          <w:rFonts w:eastAsia="Calibri"/>
          <w:kern w:val="24"/>
          <w:lang w:val="sr-Cyrl-RS"/>
        </w:rPr>
        <w:t xml:space="preserve">, </w:t>
      </w:r>
      <w:r>
        <w:rPr>
          <w:rFonts w:eastAsia="Calibri"/>
          <w:kern w:val="24"/>
          <w:lang w:val="sr-Cyrl-RS"/>
        </w:rPr>
        <w:t>ali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kumulativno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mogu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izazovu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značajan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uticaj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na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životnu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sredinu</w:t>
      </w:r>
      <w:r w:rsidR="002217F7" w:rsidRPr="0044562B">
        <w:rPr>
          <w:rFonts w:eastAsia="Calibri"/>
          <w:kern w:val="24"/>
          <w:lang w:val="sr-Cyrl-RS"/>
        </w:rPr>
        <w:t xml:space="preserve">. </w:t>
      </w:r>
      <w:r>
        <w:rPr>
          <w:rFonts w:eastAsia="Calibri"/>
          <w:kern w:val="24"/>
          <w:lang w:val="sr-Cyrl-RS"/>
        </w:rPr>
        <w:t>Uredilo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pitanje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kada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će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odbiti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zahtev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za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davanje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saglanosti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na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studiju</w:t>
      </w:r>
      <w:r w:rsidR="002217F7" w:rsidRPr="0044562B">
        <w:rPr>
          <w:rFonts w:eastAsia="Calibri"/>
          <w:kern w:val="24"/>
          <w:lang w:val="sr-Cyrl-RS"/>
        </w:rPr>
        <w:t xml:space="preserve">, </w:t>
      </w:r>
      <w:r>
        <w:rPr>
          <w:rFonts w:eastAsia="Calibri"/>
          <w:kern w:val="24"/>
          <w:lang w:val="sr-Cyrl-RS"/>
        </w:rPr>
        <w:t>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to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ako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nadležni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organ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na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osnovu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sprovedenog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postupka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izveštaja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tehničke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komisije</w:t>
      </w:r>
      <w:r w:rsidR="002217F7" w:rsidRPr="0044562B">
        <w:rPr>
          <w:rFonts w:eastAsia="Calibri"/>
          <w:kern w:val="24"/>
          <w:lang w:val="sr-Cyrl-RS"/>
        </w:rPr>
        <w:t>,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utvrdi</w:t>
      </w:r>
      <w:r w:rsidR="002217F7" w:rsidRPr="0044562B">
        <w:rPr>
          <w:rFonts w:eastAsia="Calibri"/>
          <w:kern w:val="24"/>
          <w:lang w:val="sr-Cyrl-RS"/>
        </w:rPr>
        <w:t xml:space="preserve"> </w:t>
      </w:r>
      <w:r>
        <w:rPr>
          <w:rFonts w:eastAsia="Calibri"/>
          <w:kern w:val="24"/>
          <w:lang w:val="sr-Cyrl-RS"/>
        </w:rPr>
        <w:t>d</w:t>
      </w:r>
      <w:r>
        <w:rPr>
          <w:rFonts w:eastAsia="Calibri"/>
          <w:color w:val="000000" w:themeColor="text1"/>
          <w:kern w:val="24"/>
        </w:rPr>
        <w:t>a</w:t>
      </w:r>
      <w:r w:rsidR="002217F7">
        <w:rPr>
          <w:rFonts w:eastAsia="Calibri"/>
          <w:color w:val="000000" w:themeColor="text1"/>
          <w:kern w:val="24"/>
          <w:lang w:val="sr-Cyrl-RS"/>
        </w:rPr>
        <w:t>: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predložene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karakteristike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projekta</w:t>
      </w:r>
      <w:r w:rsidR="002217F7">
        <w:rPr>
          <w:rFonts w:eastAsia="Calibri"/>
          <w:color w:val="000000" w:themeColor="text1"/>
          <w:kern w:val="24"/>
          <w:lang w:val="sr-Cyrl-RS"/>
        </w:rPr>
        <w:t>,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i</w:t>
      </w:r>
      <w:r>
        <w:rPr>
          <w:rFonts w:eastAsia="Calibri"/>
          <w:color w:val="000000" w:themeColor="text1"/>
          <w:kern w:val="24"/>
          <w:lang w:val="sr-Cyrl-RS"/>
        </w:rPr>
        <w:t>li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mere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  <w:lang w:val="sr-Cyrl-RS"/>
        </w:rPr>
        <w:t>i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color w:val="000000" w:themeColor="text1"/>
          <w:kern w:val="24"/>
          <w:lang w:val="sr-Cyrl-RS"/>
        </w:rPr>
        <w:t>uslovi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bCs/>
          <w:color w:val="000000" w:themeColor="text1"/>
          <w:kern w:val="24"/>
        </w:rPr>
        <w:t>nisu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bCs/>
          <w:color w:val="000000" w:themeColor="text1"/>
          <w:kern w:val="24"/>
        </w:rPr>
        <w:t>podobn</w:t>
      </w:r>
      <w:r>
        <w:rPr>
          <w:rFonts w:eastAsia="Calibri"/>
          <w:color w:val="000000" w:themeColor="text1"/>
          <w:kern w:val="24"/>
          <w:lang w:val="sr-Cyrl-RS"/>
        </w:rPr>
        <w:t>i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da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spreče</w:t>
      </w:r>
      <w:r w:rsidR="002217F7" w:rsidRPr="0044562B">
        <w:rPr>
          <w:rFonts w:eastAsia="Calibri"/>
          <w:color w:val="000000" w:themeColor="text1"/>
          <w:kern w:val="24"/>
        </w:rPr>
        <w:t>,</w:t>
      </w:r>
      <w:r w:rsidR="002217F7" w:rsidRPr="0044562B">
        <w:rPr>
          <w:color w:val="000000"/>
          <w:kern w:val="24"/>
          <w:lang w:val="sr-Cyrl-RS"/>
        </w:rPr>
        <w:t xml:space="preserve"> </w:t>
      </w:r>
      <w:r>
        <w:rPr>
          <w:rFonts w:eastAsia="Calibri"/>
          <w:color w:val="000000" w:themeColor="text1"/>
          <w:kern w:val="24"/>
        </w:rPr>
        <w:t>smanje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ili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otklone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bCs/>
          <w:color w:val="000000" w:themeColor="text1"/>
          <w:kern w:val="24"/>
          <w:lang w:val="sr-Cyrl-RS"/>
        </w:rPr>
        <w:t>značajne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bCs/>
          <w:color w:val="000000" w:themeColor="text1"/>
          <w:kern w:val="24"/>
          <w:lang w:val="sr-Cyrl-RS"/>
        </w:rPr>
        <w:t>negativne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bCs/>
          <w:color w:val="000000" w:themeColor="text1"/>
          <w:kern w:val="24"/>
        </w:rPr>
        <w:t>uticaje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color w:val="000000" w:themeColor="text1"/>
          <w:kern w:val="24"/>
          <w:lang w:val="sr-Cyrl-RS"/>
        </w:rPr>
        <w:t>projekta</w:t>
      </w:r>
      <w:r w:rsidR="002217F7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na</w:t>
      </w:r>
      <w:r w:rsidR="002217F7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činioce</w:t>
      </w:r>
      <w:r w:rsidR="002217F7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životne</w:t>
      </w:r>
      <w:r w:rsidR="002217F7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sredine</w:t>
      </w:r>
      <w:r w:rsidR="002217F7">
        <w:rPr>
          <w:rFonts w:eastAsia="Calibri"/>
          <w:color w:val="000000" w:themeColor="text1"/>
          <w:kern w:val="24"/>
          <w:lang w:val="sr-Cyrl-RS"/>
        </w:rPr>
        <w:t xml:space="preserve">; </w:t>
      </w:r>
      <w:r>
        <w:rPr>
          <w:rFonts w:eastAsia="Calibri"/>
          <w:color w:val="000000" w:themeColor="text1"/>
          <w:kern w:val="24"/>
          <w:lang w:val="sr-Cyrl-RS"/>
        </w:rPr>
        <w:t>p</w:t>
      </w:r>
      <w:r>
        <w:rPr>
          <w:rFonts w:eastAsia="Calibri"/>
          <w:color w:val="000000" w:themeColor="text1"/>
          <w:kern w:val="24"/>
        </w:rPr>
        <w:t>rojekat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bCs/>
          <w:color w:val="000000" w:themeColor="text1"/>
          <w:kern w:val="24"/>
        </w:rPr>
        <w:t>nije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bCs/>
          <w:color w:val="000000" w:themeColor="text1"/>
          <w:kern w:val="24"/>
        </w:rPr>
        <w:t>usaglašen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sa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propisanim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zahtevima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zaštite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životne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sredine</w:t>
      </w:r>
      <w:r w:rsidR="002217F7">
        <w:rPr>
          <w:rFonts w:eastAsia="Calibri"/>
          <w:color w:val="000000" w:themeColor="text1"/>
          <w:kern w:val="24"/>
          <w:lang w:val="sr-Cyrl-RS"/>
        </w:rPr>
        <w:t>;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color w:val="000000" w:themeColor="text1"/>
          <w:kern w:val="24"/>
          <w:lang w:val="sr-Cyrl-RS"/>
        </w:rPr>
        <w:t>s</w:t>
      </w:r>
      <w:r>
        <w:rPr>
          <w:rFonts w:eastAsia="Calibri"/>
          <w:color w:val="000000" w:themeColor="text1"/>
          <w:kern w:val="24"/>
        </w:rPr>
        <w:t>provođenje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color w:val="000000" w:themeColor="text1"/>
          <w:kern w:val="24"/>
        </w:rPr>
        <w:t>projekt</w:t>
      </w:r>
      <w:r>
        <w:rPr>
          <w:rFonts w:eastAsia="Calibri"/>
          <w:color w:val="000000" w:themeColor="text1"/>
          <w:kern w:val="24"/>
          <w:lang w:val="sr-Cyrl-RS"/>
        </w:rPr>
        <w:t>a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color w:val="000000" w:themeColor="text1"/>
          <w:kern w:val="24"/>
          <w:lang w:val="sr-Cyrl-RS"/>
        </w:rPr>
        <w:t>bi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bCs/>
          <w:color w:val="000000" w:themeColor="text1"/>
          <w:kern w:val="24"/>
        </w:rPr>
        <w:t>sprečilo</w:t>
      </w:r>
      <w:r w:rsidR="002217F7">
        <w:rPr>
          <w:rFonts w:eastAsia="Calibri"/>
          <w:bCs/>
          <w:color w:val="000000" w:themeColor="text1"/>
          <w:kern w:val="24"/>
          <w:lang w:val="sr-Cyrl-RS"/>
        </w:rPr>
        <w:t>,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ili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bCs/>
          <w:color w:val="000000" w:themeColor="text1"/>
          <w:kern w:val="24"/>
        </w:rPr>
        <w:t>značajno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bCs/>
          <w:color w:val="000000" w:themeColor="text1"/>
          <w:kern w:val="24"/>
        </w:rPr>
        <w:t>otežalo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ostvarivanje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ciljeva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zaštite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životne</w:t>
      </w:r>
      <w:r w:rsidR="002217F7" w:rsidRPr="0044562B">
        <w:rPr>
          <w:rFonts w:eastAsia="Calibri"/>
          <w:color w:val="000000" w:themeColor="text1"/>
          <w:kern w:val="24"/>
        </w:rPr>
        <w:t xml:space="preserve"> </w:t>
      </w:r>
      <w:r>
        <w:rPr>
          <w:rFonts w:eastAsia="Calibri"/>
          <w:color w:val="000000" w:themeColor="text1"/>
          <w:kern w:val="24"/>
        </w:rPr>
        <w:t>sredine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color w:val="000000" w:themeColor="text1"/>
          <w:kern w:val="24"/>
        </w:rPr>
        <w:t>utvrđen</w:t>
      </w:r>
      <w:r>
        <w:rPr>
          <w:rFonts w:eastAsia="Calibri"/>
          <w:color w:val="000000" w:themeColor="text1"/>
          <w:kern w:val="24"/>
          <w:lang w:val="sr-Cyrl-RS"/>
        </w:rPr>
        <w:t>ih</w:t>
      </w:r>
      <w:r w:rsidR="002217F7" w:rsidRPr="0044562B">
        <w:rPr>
          <w:rFonts w:eastAsia="Calibri"/>
          <w:color w:val="000000" w:themeColor="text1"/>
          <w:kern w:val="24"/>
          <w:lang w:val="sr-Cyrl-RS"/>
        </w:rPr>
        <w:t xml:space="preserve"> </w:t>
      </w:r>
      <w:r>
        <w:rPr>
          <w:rFonts w:eastAsia="Calibri"/>
          <w:color w:val="000000" w:themeColor="text1"/>
          <w:kern w:val="24"/>
        </w:rPr>
        <w:t>propisima</w:t>
      </w:r>
      <w:r w:rsidR="002217F7" w:rsidRPr="0044562B">
        <w:rPr>
          <w:rFonts w:eastAsia="Calibri"/>
          <w:color w:val="000000" w:themeColor="text1"/>
          <w:kern w:val="24"/>
        </w:rPr>
        <w:t xml:space="preserve">. </w:t>
      </w:r>
      <w:r>
        <w:rPr>
          <w:rFonts w:eastAsia="Calibri"/>
          <w:kern w:val="24"/>
          <w:lang w:val="ru-RU"/>
        </w:rPr>
        <w:t>Formalno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je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povezan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postupak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procene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uticaja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na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životnu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sredinu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sa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Theme="minorEastAsia"/>
          <w:kern w:val="24"/>
        </w:rPr>
        <w:t>Seveso</w:t>
      </w:r>
      <w:r w:rsidR="002217F7" w:rsidRPr="0044562B">
        <w:rPr>
          <w:rFonts w:eastAsiaTheme="minorEastAsia"/>
          <w:kern w:val="24"/>
        </w:rPr>
        <w:t xml:space="preserve"> III</w:t>
      </w:r>
      <w:r w:rsidR="002217F7" w:rsidRPr="0044562B">
        <w:rPr>
          <w:rFonts w:eastAsia="Calibri"/>
          <w:bCs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direktivom</w:t>
      </w:r>
      <w:r w:rsidR="002217F7" w:rsidRPr="0044562B">
        <w:rPr>
          <w:rFonts w:eastAsia="Calibri"/>
          <w:kern w:val="24"/>
          <w:lang w:val="ru-RU"/>
        </w:rPr>
        <w:t xml:space="preserve">, </w:t>
      </w:r>
      <w:r>
        <w:rPr>
          <w:rFonts w:eastAsia="Calibri"/>
          <w:kern w:val="24"/>
          <w:lang w:val="ru-RU"/>
        </w:rPr>
        <w:t>a</w:t>
      </w:r>
      <w:r w:rsidR="002217F7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bitno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je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kern w:val="24"/>
          <w:lang w:val="ru-RU"/>
        </w:rPr>
        <w:t>i</w:t>
      </w:r>
      <w:r w:rsidR="002217F7" w:rsidRPr="0044562B">
        <w:rPr>
          <w:rFonts w:eastAsia="Calibri"/>
          <w:kern w:val="24"/>
          <w:lang w:val="ru-RU"/>
        </w:rPr>
        <w:t xml:space="preserve"> </w:t>
      </w:r>
      <w:r>
        <w:rPr>
          <w:rFonts w:eastAsia="Calibri"/>
          <w:bCs/>
          <w:color w:val="000000" w:themeColor="text1"/>
          <w:kern w:val="24"/>
          <w:lang w:val="ru-RU"/>
        </w:rPr>
        <w:t>uvođenje</w:t>
      </w:r>
      <w:r w:rsidR="002217F7" w:rsidRPr="0044562B">
        <w:rPr>
          <w:rFonts w:eastAsia="Calibri"/>
          <w:bCs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bCs/>
          <w:color w:val="000000" w:themeColor="text1"/>
          <w:kern w:val="24"/>
          <w:lang w:val="ru-RU"/>
        </w:rPr>
        <w:t>kriterijuma</w:t>
      </w:r>
      <w:r w:rsidR="002217F7" w:rsidRPr="0044562B">
        <w:rPr>
          <w:rFonts w:eastAsia="Calibri"/>
          <w:bCs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na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osnovu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kojih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će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nadležni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organ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na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jasan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i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transparetan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način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bCs/>
          <w:color w:val="000000" w:themeColor="text1"/>
          <w:kern w:val="24"/>
          <w:lang w:val="ru-RU"/>
        </w:rPr>
        <w:t>donositi</w:t>
      </w:r>
      <w:r w:rsidR="002217F7" w:rsidRPr="0044562B">
        <w:rPr>
          <w:rFonts w:eastAsia="Calibri"/>
          <w:bCs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bCs/>
          <w:color w:val="000000" w:themeColor="text1"/>
          <w:kern w:val="24"/>
          <w:lang w:val="ru-RU"/>
        </w:rPr>
        <w:t>odluku</w:t>
      </w:r>
      <w:r w:rsidR="002217F7" w:rsidRPr="0044562B">
        <w:rPr>
          <w:rFonts w:eastAsia="Calibri"/>
          <w:bCs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bCs/>
          <w:color w:val="000000" w:themeColor="text1"/>
          <w:kern w:val="24"/>
          <w:lang w:val="ru-RU"/>
        </w:rPr>
        <w:t>o</w:t>
      </w:r>
      <w:r w:rsidR="002217F7" w:rsidRPr="0044562B">
        <w:rPr>
          <w:rFonts w:eastAsia="Calibri"/>
          <w:bCs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bCs/>
          <w:color w:val="000000" w:themeColor="text1"/>
          <w:kern w:val="24"/>
          <w:lang w:val="ru-RU"/>
        </w:rPr>
        <w:t>izradi</w:t>
      </w:r>
      <w:r w:rsidR="002217F7">
        <w:rPr>
          <w:rFonts w:eastAsia="Calibri"/>
          <w:bCs/>
          <w:color w:val="000000" w:themeColor="text1"/>
          <w:kern w:val="24"/>
          <w:lang w:val="ru-RU"/>
        </w:rPr>
        <w:t>,</w:t>
      </w:r>
      <w:r w:rsidR="002217F7" w:rsidRPr="0044562B">
        <w:rPr>
          <w:rFonts w:eastAsia="Calibri"/>
          <w:bCs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bCs/>
          <w:color w:val="000000" w:themeColor="text1"/>
          <w:kern w:val="24"/>
          <w:lang w:val="ru-RU"/>
        </w:rPr>
        <w:t>ili</w:t>
      </w:r>
      <w:r w:rsidR="002217F7" w:rsidRPr="0044562B">
        <w:rPr>
          <w:rFonts w:eastAsia="Calibri"/>
          <w:bCs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bCs/>
          <w:color w:val="000000" w:themeColor="text1"/>
          <w:kern w:val="24"/>
          <w:lang w:val="ru-RU"/>
        </w:rPr>
        <w:t>neizradi</w:t>
      </w:r>
      <w:r w:rsidR="002217F7" w:rsidRPr="0044562B">
        <w:rPr>
          <w:rFonts w:eastAsia="Calibri"/>
          <w:bCs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bCs/>
          <w:color w:val="000000" w:themeColor="text1"/>
          <w:kern w:val="24"/>
          <w:lang w:val="ru-RU"/>
        </w:rPr>
        <w:t>studije</w:t>
      </w:r>
      <w:r w:rsidR="002217F7">
        <w:rPr>
          <w:rFonts w:eastAsia="Calibri"/>
          <w:bCs/>
          <w:color w:val="000000" w:themeColor="text1"/>
          <w:kern w:val="24"/>
          <w:lang w:val="ru-RU"/>
        </w:rPr>
        <w:t>,</w:t>
      </w:r>
      <w:r w:rsidR="002217F7" w:rsidRPr="0044562B">
        <w:rPr>
          <w:rFonts w:eastAsia="Calibri"/>
          <w:bCs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kada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se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radi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o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projektima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color w:val="000000" w:themeColor="text1"/>
          <w:kern w:val="24"/>
          <w:lang w:val="ru-RU"/>
        </w:rPr>
        <w:t>sa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</w:t>
      </w:r>
      <w:r>
        <w:rPr>
          <w:rFonts w:eastAsia="Calibri"/>
          <w:bCs/>
          <w:color w:val="000000" w:themeColor="text1"/>
          <w:kern w:val="24"/>
          <w:lang w:val="ru-RU"/>
        </w:rPr>
        <w:t>Liste</w:t>
      </w:r>
      <w:r w:rsidR="002217F7" w:rsidRPr="0044562B">
        <w:rPr>
          <w:rFonts w:eastAsia="Calibri"/>
          <w:bCs/>
          <w:color w:val="000000" w:themeColor="text1"/>
          <w:kern w:val="24"/>
          <w:lang w:val="ru-RU"/>
        </w:rPr>
        <w:t xml:space="preserve"> 2 </w:t>
      </w:r>
      <w:r>
        <w:rPr>
          <w:rFonts w:eastAsia="Calibri"/>
          <w:bCs/>
          <w:color w:val="000000" w:themeColor="text1"/>
          <w:kern w:val="24"/>
          <w:lang w:val="ru-RU"/>
        </w:rPr>
        <w:t>Uredbe</w:t>
      </w:r>
      <w:r w:rsidR="002217F7" w:rsidRPr="0044562B">
        <w:rPr>
          <w:rFonts w:eastAsia="Calibri"/>
          <w:bCs/>
          <w:color w:val="000000" w:themeColor="text1"/>
          <w:kern w:val="24"/>
          <w:lang w:val="ru-RU"/>
        </w:rPr>
        <w:t>.</w:t>
      </w:r>
      <w:r w:rsidR="002217F7" w:rsidRPr="0044562B">
        <w:rPr>
          <w:rFonts w:eastAsia="Calibri"/>
          <w:color w:val="000000" w:themeColor="text1"/>
          <w:kern w:val="24"/>
          <w:lang w:val="ru-RU"/>
        </w:rPr>
        <w:t xml:space="preserve">  </w:t>
      </w:r>
    </w:p>
    <w:p w:rsidR="002217F7" w:rsidRPr="0044562B" w:rsidRDefault="00AC6089" w:rsidP="002217F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Naznačila</w:t>
      </w:r>
      <w:r w:rsidR="002217F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je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da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je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definisano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da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sva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>IPPC</w:t>
      </w:r>
      <w:r w:rsidR="002217F7" w:rsidRPr="0044562B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>i</w:t>
      </w:r>
      <w:r w:rsidR="002217F7" w:rsidRPr="0044562B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Seveso</w:t>
      </w:r>
      <w:r w:rsidR="002217F7" w:rsidRPr="0044562B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postrojenja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budu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u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nadležnosti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Ministarstva</w:t>
      </w:r>
      <w:r w:rsidR="002217F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,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ili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nadležnog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organa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AP</w:t>
      </w:r>
      <w:r w:rsidR="002217F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,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s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tim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da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je</w:t>
      </w:r>
      <w:r w:rsidR="002217F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Ministarstvo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nadležno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za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sve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projekte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u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val="ru-RU"/>
        </w:rPr>
        <w:t>prekograničnom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kontekstu</w:t>
      </w:r>
      <w:r w:rsidR="002217F7" w:rsidRPr="0044562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ru-RU"/>
        </w:rPr>
        <w:t>.</w:t>
      </w:r>
      <w:r w:rsidR="002217F7" w:rsidRPr="0044562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Ministar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sr-Cyrl-RS"/>
        </w:rPr>
        <w:t>st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vo</w:t>
      </w:r>
      <w:r w:rsidR="002217F7"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sr-Cyrl-RS"/>
        </w:rPr>
        <w:t>će</w:t>
      </w:r>
      <w:proofErr w:type="gramEnd"/>
      <w:r w:rsidR="002217F7"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val="sr-Cyrl-RS"/>
        </w:rPr>
        <w:t>voditi</w:t>
      </w:r>
      <w:r w:rsidR="002217F7"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centralnu</w:t>
      </w:r>
      <w:r w:rsidR="002217F7"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bazu</w:t>
      </w:r>
      <w:r w:rsidR="002217F7"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podataka</w:t>
      </w:r>
      <w:r w:rsidR="002217F7"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i</w:t>
      </w:r>
      <w:r w:rsidR="002217F7"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centralni</w:t>
      </w:r>
      <w:r w:rsidR="002217F7"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veb</w:t>
      </w:r>
      <w:r w:rsidR="002217F7"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portal</w:t>
      </w:r>
      <w:r w:rsidR="002217F7" w:rsidRPr="0044562B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preko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kojeg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će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svi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nadležni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organi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biti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obavezni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obaveštava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ju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zainteresovane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organe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i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organizacije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i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zainteresovanu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javnost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o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pokrenutim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postupcima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procene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uticaja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praćenju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faza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postupka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procene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uticaja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rokovima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i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načinima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dostavljanja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mišljenja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mestu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i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vremenu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održavanja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javnih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konsultacija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prekograničnim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konsultacijama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Rok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uspostavljanje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baze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celog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sistema</w:t>
      </w:r>
      <w:r w:rsidR="002217F7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je</w:t>
      </w:r>
      <w:r w:rsidR="002217F7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tri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godine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od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donošenja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Zakona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>Takođe</w:t>
      </w:r>
      <w:r w:rsidR="002217F7" w:rsidRPr="0044562B">
        <w:rPr>
          <w:rFonts w:ascii="Times New Roman" w:eastAsia="Times New Roman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u</w:t>
      </w:r>
      <w:r w:rsidR="002217F7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roku</w:t>
      </w:r>
      <w:r w:rsidR="002217F7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od</w:t>
      </w:r>
      <w:r w:rsidR="002217F7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dve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godine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od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donošenja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ovog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zakona</w:t>
      </w:r>
      <w:r w:rsidR="002217F7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,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regulisaće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se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odnos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postupka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procene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uticaja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sa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postupkom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ocene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prihvatljivosti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projekata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za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ekološku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mrežu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.</w:t>
      </w:r>
    </w:p>
    <w:p w:rsidR="002217F7" w:rsidRPr="0044562B" w:rsidRDefault="00AC6089" w:rsidP="002217F7">
      <w:pPr>
        <w:spacing w:after="0"/>
        <w:ind w:firstLine="567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Objasnila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je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da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je</w:t>
      </w:r>
      <w:r w:rsidR="002217F7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n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osilac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projekta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dužan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za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projekat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koji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je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obavezna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procena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uticaja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i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projek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a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t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za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koji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postoji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obave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podnošenja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zahteva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odlučivanje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o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potrebi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procene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uticaja</w:t>
      </w:r>
      <w:r w:rsidR="002217F7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priloži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saglasnost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nadležnog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organa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na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studiju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studiju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o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proceni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uticaja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projekta</w:t>
      </w:r>
      <w:r w:rsidR="002217F7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uz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zahtev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za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odobrenje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za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izvođenje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projekta</w:t>
      </w:r>
      <w:r w:rsidR="002217F7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ili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odluku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nadležnog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organa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kojom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se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utvrđuje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da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nije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potrebna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procena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uticaja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projekta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na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životnu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sredinu</w:t>
      </w:r>
      <w:r w:rsidR="002217F7" w:rsidRPr="0044562B">
        <w:rPr>
          <w:rFonts w:ascii="Times New Roman" w:eastAsia="Calibri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i</w:t>
      </w:r>
      <w:r w:rsidR="002217F7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to</w:t>
      </w:r>
      <w:r w:rsidR="002217F7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sastavni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>deo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dokumentacije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na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osnovu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koje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se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donosi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odluka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o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odobrenju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za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izvođenje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ru-RU"/>
        </w:rPr>
        <w:t>projekta</w:t>
      </w:r>
      <w:r w:rsidR="002217F7" w:rsidRPr="0044562B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. </w:t>
      </w:r>
      <w:r w:rsidR="002217F7">
        <w:rPr>
          <w:rFonts w:ascii="Times New Roman" w:eastAsia="Calibri" w:hAnsi="Times New Roman" w:cs="Times New Roman"/>
          <w:bCs/>
          <w:kern w:val="24"/>
          <w:sz w:val="24"/>
          <w:szCs w:val="24"/>
          <w:lang w:val="sr-Cyrl-RS"/>
        </w:rPr>
        <w:t xml:space="preserve"> </w:t>
      </w:r>
    </w:p>
    <w:p w:rsidR="002217F7" w:rsidRDefault="00AC6089" w:rsidP="002217F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Istakla</w:t>
      </w:r>
      <w:r w:rsidR="002217F7" w:rsidRPr="00DC22C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je</w:t>
      </w:r>
      <w:r w:rsidR="002217F7" w:rsidRPr="00DC22C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>bavezu</w:t>
      </w:r>
      <w:r w:rsidR="002217F7" w:rsidRPr="00DC22C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Ministarstva</w:t>
      </w:r>
      <w:r w:rsidR="002217F7" w:rsidRPr="00DC22C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zaštite</w:t>
      </w:r>
      <w:r w:rsidR="002217F7" w:rsidRPr="00DC22C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životne</w:t>
      </w:r>
      <w:r w:rsidR="002217F7" w:rsidRPr="00DC22C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sredine</w:t>
      </w:r>
      <w:r w:rsidR="002217F7" w:rsidRPr="00DC22C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da</w:t>
      </w:r>
      <w:r w:rsidR="002217F7" w:rsidRPr="00DC22C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>izda</w:t>
      </w:r>
      <w:r w:rsidR="002217F7" w:rsidRPr="00DC22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>mišljenje</w:t>
      </w:r>
      <w:r w:rsidR="002217F7" w:rsidRPr="00DC22C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o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potrebi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pokretanja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postupka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procene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uticaja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>proceduri</w:t>
      </w:r>
      <w:r w:rsidR="002217F7" w:rsidRPr="0044562B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>izdavanja</w:t>
      </w:r>
      <w:r w:rsidR="002217F7" w:rsidRPr="0044562B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>lokacijskih</w:t>
      </w:r>
      <w:r w:rsidR="002217F7" w:rsidRPr="0044562B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>uslova</w:t>
      </w:r>
      <w:r w:rsidR="002217F7" w:rsidRPr="0044562B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skladu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sa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zakonom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kojim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uređuju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planiranje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>izgradnja</w:t>
      </w:r>
      <w:r w:rsidR="002217F7" w:rsidRPr="0044562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. </w:t>
      </w:r>
    </w:p>
    <w:p w:rsidR="002217F7" w:rsidRDefault="00AC6089" w:rsidP="002217F7">
      <w:pPr>
        <w:spacing w:after="0" w:line="276" w:lineRule="auto"/>
        <w:ind w:firstLine="567"/>
        <w:jc w:val="both"/>
        <w:rPr>
          <w:rFonts w:ascii="Times New Roman" w:hAnsi="Times New Roman" w:cs="Times New Roman"/>
          <w:kern w:val="24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lastRenderedPageBreak/>
        <w:t>Pojasnila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je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postupak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za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određivanje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obima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sadržaja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studije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o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potrebi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procene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uticaja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na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životnu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sredinu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RS"/>
        </w:rPr>
        <w:t>.</w:t>
      </w:r>
      <w:r w:rsidR="002217F7" w:rsidRPr="0044562B">
        <w:rPr>
          <w:kern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Prilikom</w:t>
      </w:r>
      <w:r w:rsidR="002217F7" w:rsidRPr="0044562B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odlučivanja</w:t>
      </w:r>
      <w:r w:rsidR="002217F7" w:rsidRPr="0044562B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o</w:t>
      </w:r>
      <w:r w:rsidR="002217F7" w:rsidRPr="0044562B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zahtevu</w:t>
      </w:r>
      <w:r w:rsidR="002217F7" w:rsidRPr="0044562B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o</w:t>
      </w:r>
      <w:r w:rsidR="002217F7" w:rsidRPr="0044562B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potrebi</w:t>
      </w:r>
      <w:r w:rsidR="002217F7" w:rsidRPr="0044562B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procene</w:t>
      </w:r>
      <w:r w:rsidR="002217F7" w:rsidRPr="0044562B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uticaja</w:t>
      </w:r>
      <w:r w:rsidR="002217F7">
        <w:rPr>
          <w:rFonts w:ascii="Times New Roman" w:hAnsi="Times New Roman" w:cs="Times New Roman"/>
          <w:bCs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nadležni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organ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naročito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uzima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obzir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veličinu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</w:rPr>
        <w:t>specifične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osobine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projekta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</w:rPr>
        <w:t>osetljivost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životne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sredine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mestu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izvođenja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projekta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</w:rPr>
        <w:t>vrstu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osobine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mogućih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uticaja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projekata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posebno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odnosu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24"/>
          <w:sz w:val="24"/>
          <w:szCs w:val="24"/>
        </w:rPr>
        <w:t>na</w:t>
      </w:r>
      <w:proofErr w:type="gramEnd"/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ciljeve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očuvanja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celovitost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područja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ekološke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>mreže</w:t>
      </w:r>
      <w:r w:rsidR="002217F7" w:rsidRPr="0044562B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. </w:t>
      </w:r>
      <w:r w:rsidR="002217F7"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</w:p>
    <w:p w:rsidR="002217F7" w:rsidRPr="0044562B" w:rsidRDefault="002217F7" w:rsidP="002217F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  <w:lang w:val="sr-Cyrl-RS"/>
        </w:rPr>
        <w:t xml:space="preserve"> </w:t>
      </w:r>
    </w:p>
    <w:p w:rsidR="002217F7" w:rsidRPr="0044562B" w:rsidRDefault="00AC6089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Obrazlažući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Predlog</w:t>
      </w:r>
      <w:r w:rsidR="002217F7"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zakona</w:t>
      </w:r>
      <w:r w:rsidR="002217F7"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o</w:t>
      </w:r>
      <w:r w:rsidR="002217F7"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kontroli</w:t>
      </w:r>
      <w:r w:rsidR="002217F7"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opasnosti</w:t>
      </w:r>
      <w:r w:rsidR="002217F7"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od</w:t>
      </w:r>
      <w:r w:rsidR="002217F7"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velikih</w:t>
      </w:r>
      <w:r w:rsidR="002217F7"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udesa</w:t>
      </w:r>
      <w:r w:rsidR="002217F7"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koji</w:t>
      </w:r>
      <w:r w:rsidR="002217F7"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uključuju</w:t>
      </w:r>
      <w:r w:rsidR="002217F7"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opasne</w:t>
      </w:r>
      <w:r w:rsidR="002217F7" w:rsidRPr="00FB133A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>supstance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rekla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je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2012. </w:t>
      </w:r>
      <w:proofErr w:type="gramStart"/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godine</w:t>
      </w:r>
      <w:proofErr w:type="gramEnd"/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usvojena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Direktiva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2012/18/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EU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o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kontroli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opasnosti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od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velikih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udesa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koji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uključuju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opasne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supstance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Seveso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III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d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irektiva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),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prvenstveno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u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cilju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usklađivanja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međunarodnim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sistemom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klasifikacije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hemikalija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(GHS/CLP).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Seveso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III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direktiva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je </w:t>
      </w:r>
      <w:proofErr w:type="gramStart"/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na</w:t>
      </w:r>
      <w:proofErr w:type="gramEnd"/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nivou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Evropske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unije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stupila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na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snagu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1. </w:t>
      </w:r>
      <w:proofErr w:type="gramStart"/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juna</w:t>
      </w:r>
      <w:proofErr w:type="gramEnd"/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2015. </w:t>
      </w:r>
      <w:proofErr w:type="gramStart"/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godine</w:t>
      </w:r>
      <w:proofErr w:type="gramEnd"/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Seveso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II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direktiva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je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stavljena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van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snage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</w:rPr>
        <w:t>.</w:t>
      </w:r>
      <w:r w:rsidR="002217F7" w:rsidRPr="0044562B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Cilj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je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prevencija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velikih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udesa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ograničavanje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njihovih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posledica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po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zdravlje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ljudi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životnu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sredinu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.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Obim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primene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su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industrijska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postrojenja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kojima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su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prisutne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opasne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supstance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određenim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količinama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.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17F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2217F7" w:rsidRPr="0044562B" w:rsidRDefault="00AC6089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Istakla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je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da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su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prema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Seveso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III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direktivi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opasne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supstance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(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ili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smeše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)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one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koje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obuhvaćene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Delom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1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–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kategorije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opasnih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supstanci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,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ili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navedene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Delu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2 –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imenovane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opasne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supstance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Aneksa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I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direktive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Aneks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I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Seveso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III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direktive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je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već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unet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domaće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zakonodavstvo</w:t>
      </w:r>
      <w:r w:rsidR="00C72390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C72390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(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Pravilnik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listi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opasnih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materija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njihovim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količinama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kriterijumima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za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određivanje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vrste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dokumenata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koje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izrađuje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operater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S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eveso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postrojenja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odnosno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kompleksa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čiji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sastavni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deo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čine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Lista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opasnih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materija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njihovih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graničnih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količina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Lista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kategorija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opasnih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materija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njihovih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graničnih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količina</w:t>
      </w:r>
      <w:r w:rsidR="00C72390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)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Iako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se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ovaj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zakon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donosi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prvi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put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određena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regulativa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kod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nas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već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postoji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Veliki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udesi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imaju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značajane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uticaje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na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ljudsko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zdravlje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i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životnu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sredinu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i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prave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veliku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ekonomsku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štetu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.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Suština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je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da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se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obezbedi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bolji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nivo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zaštite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od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hemijskih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udesa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ali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i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usklađivanje</w:t>
      </w:r>
      <w:r w:rsidR="002217F7" w:rsidRPr="00DC22CC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sa</w:t>
      </w:r>
      <w:r w:rsidR="002217F7" w:rsidRPr="00DC22CC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Seveso</w:t>
      </w:r>
      <w:r w:rsidR="002217F7" w:rsidRPr="00DC22CC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III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direktivom</w:t>
      </w:r>
      <w:r w:rsidR="002217F7" w:rsidRPr="00DC22CC">
        <w:rPr>
          <w:rFonts w:ascii="Times New Roman" w:eastAsiaTheme="minorEastAsia" w:hAnsi="Times New Roman" w:cs="Times New Roman"/>
          <w:kern w:val="24"/>
          <w:sz w:val="24"/>
          <w:szCs w:val="24"/>
        </w:rPr>
        <w:t>.</w:t>
      </w:r>
      <w:r w:rsidR="002217F7" w:rsidRPr="00DC22CC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Usvajanjem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ovog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zakona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i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donošenjem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podzakonskih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akata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na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osnovu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njega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kern w:val="24"/>
          <w:sz w:val="24"/>
          <w:szCs w:val="24"/>
          <w:lang w:val="sr-Cyrl-CS"/>
        </w:rPr>
        <w:t>Seveso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CS"/>
        </w:rPr>
        <w:t xml:space="preserve"> III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direktiva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biće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  <w:lang w:val="sr-Cyrl-CS"/>
        </w:rPr>
        <w:t>potpuno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preneta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u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nacionalno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zakonodavstvo</w:t>
      </w:r>
      <w:r w:rsidR="002217F7" w:rsidRPr="00DC22CC">
        <w:rPr>
          <w:rFonts w:ascii="Times New Roman" w:eastAsia="Calibri" w:hAnsi="Times New Roman" w:cs="Times New Roman"/>
          <w:kern w:val="24"/>
          <w:sz w:val="24"/>
          <w:szCs w:val="24"/>
          <w:lang w:val="sr-Cyrl-CS"/>
        </w:rPr>
        <w:t>.</w:t>
      </w:r>
      <w:r w:rsidR="002217F7" w:rsidRPr="00DC22CC">
        <w:rPr>
          <w:rFonts w:ascii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Ciljevi</w:t>
      </w:r>
      <w:r w:rsidR="002217F7" w:rsidRPr="00DC22CC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Predloga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zakona</w:t>
      </w:r>
      <w:r w:rsidR="002217F7" w:rsidRPr="00DC22CC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su</w:t>
      </w:r>
      <w:r w:rsidR="002217F7" w:rsidRPr="00DC22CC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: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utvrđivanje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mera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neophodnih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prevenciju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velikih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udesa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ograničavanje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njihovih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posledica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po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zdravlje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ljudi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životnu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sredinu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obezbeđivanje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CS"/>
        </w:rPr>
        <w:t>upravljanja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CS"/>
        </w:rPr>
        <w:t>rizikom</w:t>
      </w:r>
      <w:r w:rsidR="002217F7" w:rsidRPr="0044562B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od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velikog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udesa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preduzimanjem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odgovarajućih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mera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prevencije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na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svim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nivoima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uspostavljanje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i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primena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mera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bezbednosti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mera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za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smanjenje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rizika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da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bi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se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sprečili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mogući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udesi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CS"/>
        </w:rPr>
        <w:t>,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obezbeđiv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nje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prevencije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velikih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udesa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ograničavanja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posledica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tih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udesa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pri</w:t>
      </w:r>
      <w:r w:rsidR="002217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planiranju</w:t>
      </w:r>
      <w:r w:rsidR="002217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prostora</w:t>
      </w:r>
      <w:r w:rsidR="002217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obezbeđivanje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pristupa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informacijama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javnosti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kompleksima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lokalitetima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gde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predviđena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njihova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gradnja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naročito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o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merama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koje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treba</w:t>
      </w:r>
      <w:r w:rsidR="00C723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da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preduzmu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lica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koja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mogu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biti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pogođena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velikim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udesom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. </w:t>
      </w:r>
      <w:r w:rsidR="002217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</w:p>
    <w:p w:rsidR="002217F7" w:rsidRDefault="00AC6089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Rekla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je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da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su</w:t>
      </w:r>
      <w:r w:rsidR="002217F7" w:rsidRPr="0044562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Predlogom</w:t>
      </w:r>
      <w:r w:rsidR="002217F7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zakona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određeni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nadležni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organi</w:t>
      </w:r>
      <w:r w:rsidR="002217F7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utvrđene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su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nadležnosti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za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sprovođenje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obaveza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zahtev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za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koordinaciju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rada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samih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nadležnih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organa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njihova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obaveza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da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sarađuju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obezbede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mehanizme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za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saradnju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u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oblasti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prevencije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velikih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udesa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prostornog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planiranja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smanjenja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rizika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od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katastrofa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upravljanja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vanrednim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situacijama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+mn-ea" w:hAnsi="Times New Roman" w:cs="Times New Roman"/>
          <w:bCs/>
          <w:color w:val="000000"/>
          <w:sz w:val="24"/>
          <w:szCs w:val="24"/>
          <w:lang w:val="sr-Cyrl-RS"/>
        </w:rPr>
        <w:t>Definisane</w:t>
      </w:r>
      <w:r w:rsidR="002217F7" w:rsidRPr="0044562B">
        <w:rPr>
          <w:rFonts w:ascii="Times New Roman" w:eastAsia="+mn-ea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bCs/>
          <w:color w:val="000000"/>
          <w:sz w:val="24"/>
          <w:szCs w:val="24"/>
          <w:lang w:val="sr-Cyrl-RS"/>
        </w:rPr>
        <w:t>su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obaveze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nadležnog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organa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jedinice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lokalne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samouprave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nakon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velikog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udesa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koji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je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nastao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na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njegovoj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administrativnoj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teritoriji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+mn-ea" w:hAnsi="Times New Roman" w:cs="Times New Roman"/>
          <w:bCs/>
          <w:color w:val="000000"/>
          <w:sz w:val="24"/>
          <w:szCs w:val="24"/>
          <w:lang w:val="sr-Cyrl-RS"/>
        </w:rPr>
        <w:t>Uređena</w:t>
      </w:r>
      <w:r w:rsidR="002217F7" w:rsidRPr="0044562B">
        <w:rPr>
          <w:rFonts w:ascii="Times New Roman" w:eastAsia="+mn-ea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obaveza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i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postupak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konsultacija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nadležnih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organa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u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cilju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prevencije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velikih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udesa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u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toku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prostornog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>planiranja</w:t>
      </w:r>
      <w:r w:rsidR="002217F7" w:rsidRPr="0044562B">
        <w:rPr>
          <w:rFonts w:ascii="Times New Roman" w:eastAsia="+mn-ea" w:hAnsi="Times New Roman" w:cs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uslove</w:t>
      </w:r>
      <w:r w:rsidR="002217F7" w:rsidRPr="004456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mere</w:t>
      </w:r>
      <w:r w:rsidR="002217F7" w:rsidRPr="004456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prevencije</w:t>
      </w:r>
      <w:r w:rsidR="002217F7" w:rsidRPr="0044562B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velikih</w:t>
      </w:r>
      <w:r w:rsidR="002217F7" w:rsidRPr="0044562B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udesa</w:t>
      </w:r>
      <w:r w:rsidR="002217F7" w:rsidRPr="0044562B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ograničavanja</w:t>
      </w:r>
      <w:r w:rsidR="002217F7" w:rsidRPr="004456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posledica</w:t>
      </w:r>
      <w:r w:rsidR="002217F7" w:rsidRPr="004456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tih</w:t>
      </w:r>
      <w:r w:rsidR="002217F7" w:rsidRPr="004456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udesa</w:t>
      </w:r>
      <w:r w:rsidR="002217F7" w:rsidRPr="004456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pri</w:t>
      </w:r>
      <w:r w:rsidR="002217F7" w:rsidRPr="004456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planiranju</w:t>
      </w:r>
      <w:r w:rsidR="002217F7" w:rsidRPr="004456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prostora</w:t>
      </w:r>
      <w:r w:rsidR="002217F7" w:rsidRPr="0044562B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zainteresovane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planiranjem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kompleksa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blizini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kompleksa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propisom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uređuje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planova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2217F7" w:rsidRPr="004456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217F7" w:rsidRDefault="00AC6089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lastRenderedPageBreak/>
        <w:t>Navela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je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obaveze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operatera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za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svaki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kompleks</w:t>
      </w:r>
      <w:r w:rsidR="002217F7" w:rsidRPr="0044562B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: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identifikacija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kompleksa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(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li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je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postrojenje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višeg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ili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nižeg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reda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),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obaveštenje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Latn-RS"/>
        </w:rPr>
        <w:t xml:space="preserve"> 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(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da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se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izradi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dostavi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),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politika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prevencije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velikog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udesa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,</w:t>
      </w:r>
      <w:r w:rsidR="002217F7" w:rsidRPr="001B5EA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sistem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upravljanja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bezbednošću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Latn-RS"/>
        </w:rPr>
        <w:t xml:space="preserve"> 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(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da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se</w:t>
      </w:r>
      <w:r w:rsidR="00C72390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izradi</w:t>
      </w:r>
      <w:r w:rsidR="00C72390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dostavi</w:t>
      </w:r>
      <w:r w:rsidR="00C72390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</w:t>
      </w:r>
      <w:r w:rsidR="00C72390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sprovede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),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izveštaj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o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bezbednosti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(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za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komplekse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višeg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reda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da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se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izradi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dostavi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>da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se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>aktivnosti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>na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>kompleksu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>obavlja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ju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>u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>skladu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>sa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>tim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l-SI"/>
        </w:rPr>
        <w:t>izveštajem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)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interni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Plan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zaštite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od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velikog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>udesa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ru-RU"/>
        </w:rPr>
        <w:t xml:space="preserve"> (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za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komplekse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višeg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reda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da</w:t>
      </w:r>
      <w:r w:rsidR="002217F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se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izradi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dostavi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primeni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u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slučaju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>udesa</w:t>
      </w:r>
      <w:r w:rsidR="002217F7" w:rsidRPr="001B5EAD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  <w:t xml:space="preserve">). </w:t>
      </w:r>
    </w:p>
    <w:p w:rsidR="002217F7" w:rsidRPr="001B5EAD" w:rsidRDefault="002217F7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sr-Cyrl-RS"/>
        </w:rPr>
      </w:pPr>
    </w:p>
    <w:p w:rsidR="002217F7" w:rsidRDefault="00AC6089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Obrazlažući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Predlog</w:t>
      </w:r>
      <w:r w:rsidR="002217F7" w:rsidRPr="00DE1F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2217F7" w:rsidRPr="00DE1F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2217F7" w:rsidRPr="00DE1F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potvrđivanju</w:t>
      </w:r>
      <w:r w:rsidR="002217F7" w:rsidRPr="00DE1F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Minamata</w:t>
      </w:r>
      <w:r w:rsidR="002217F7" w:rsidRPr="00DE1F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konvencije</w:t>
      </w:r>
      <w:r w:rsidR="002217F7" w:rsidRPr="00DE1F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2217F7" w:rsidRPr="00DE1F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živi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živa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teški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metal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tečan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sobnoj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temperaturi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Oslobađanje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žive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životnu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sredinu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nastaje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kao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posledica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raspadanja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živinih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ruda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ili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kao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posledica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ljudske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aktivnosti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(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industrijski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procesi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,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rudarstvo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,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krčenje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šuma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,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spaljiv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a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nje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otpada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fosilnih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goriva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).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Živa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prirodno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ne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nal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>a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živim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organizmima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tako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da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je</w:t>
      </w:r>
      <w:r w:rsidR="00023280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bilo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kakvo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prisustvo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ovog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metala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organizmima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bilo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kojoj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koncentraciji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isključivo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posledica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kontaminacije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.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Svi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oblici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žive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toksični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ljude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životnu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sredinu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. 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Ministarstvo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ranije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preduzelo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mere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kako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bi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se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zabranilo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korišćenje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žive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a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ratifikacija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Konvenicje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će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omogućiti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pristup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međunarodnim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donatorskim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fondovima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.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 </w:t>
      </w:r>
    </w:p>
    <w:p w:rsidR="002217F7" w:rsidRPr="001B5EAD" w:rsidRDefault="00AC6089" w:rsidP="002217F7">
      <w:pPr>
        <w:spacing w:after="0"/>
        <w:ind w:firstLine="72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Finalni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tekst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Minamata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konvencije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usvojen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10.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oktobra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2013.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godine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Minamati</w:t>
      </w:r>
      <w:r w:rsidR="002217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,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okviru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Diplomatske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konferencije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opunomoćenika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GB"/>
        </w:rPr>
        <w:t>.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Republika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Srbija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potpisala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Minamata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konvenciju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živi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9.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oktobra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2014.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godine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time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iskazala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spremnost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za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rešavanje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problema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vezi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živom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kako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na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nacionalnom</w:t>
      </w:r>
      <w:r w:rsidR="002217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,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tako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na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globalnom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nivou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Minamata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konvencija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o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živi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stupila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na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snagu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16.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avgusta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 xml:space="preserve"> 2017.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RS"/>
        </w:rPr>
        <w:t>godine</w:t>
      </w:r>
      <w:r w:rsidR="002217F7" w:rsidRPr="001B5E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D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danas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1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>4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9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zemalja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ratifikovalo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ovu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konvenciju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.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</w:p>
    <w:p w:rsidR="00387217" w:rsidRPr="002217F7" w:rsidRDefault="00AC6089" w:rsidP="002217F7">
      <w:pPr>
        <w:spacing w:after="0"/>
        <w:ind w:firstLine="720"/>
        <w:jc w:val="both"/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Istakla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da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cilj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onvencije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zaštita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zdravlja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ljudi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životne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sredine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od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zagađenja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posledica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nastalih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usled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ljudskih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aktivnosti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na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emisij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ispuštanja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žive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njenih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jedinjenja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životnu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sredinu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.</w:t>
      </w:r>
      <w:r w:rsidR="002217F7" w:rsidRPr="001B5EAD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Implementacijom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ove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konvencije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postižu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se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: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smanjenje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prestanak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snabdevanja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trgovine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živom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fazno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isključivanje</w:t>
      </w:r>
      <w:r w:rsidR="002217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,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ili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fazno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smanjivanje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određenih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proizvoda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procesa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kojima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se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nalazi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ili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koristi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živa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kao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smanjenje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emisija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žive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njenog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ispuštanja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životnu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sredinu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r-Cyrl-CS"/>
        </w:rPr>
        <w:t>I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ako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pitanju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pravno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-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obavezujući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dokument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implementacija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nekih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odredbi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zasniva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se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na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dobrovoljnom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principu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zavisi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od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odluke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na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nacionalnom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nivou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Ciljevi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>Konvencije</w:t>
      </w:r>
      <w:r w:rsidR="002217F7" w:rsidRPr="001B5EA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odnose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se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pre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svega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na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: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zabranu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otvaranja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novih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rudnika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žive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postepeno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zatvaranje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postojećih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rudnika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mere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za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kontrolu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emisija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vazduh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neformaln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sektor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koji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se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bavi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zanatskim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rudarstvom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dobijanjem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zlata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malom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>obimu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,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Latn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bezbedno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upravljanje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otpadom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koji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sadrži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živu</w:t>
      </w:r>
      <w:r w:rsidR="002217F7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sanaciju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kontaminiranih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lokacija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.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Jedan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od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ciljeva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usaglašenost</w:t>
      </w:r>
      <w:r w:rsidR="002217F7" w:rsidRPr="001B5EAD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Minamata</w:t>
      </w:r>
      <w:r w:rsidR="002217F7" w:rsidRPr="001B5EAD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konvencije</w:t>
      </w:r>
      <w:r w:rsidR="002217F7" w:rsidRPr="001B5EAD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sa</w:t>
      </w:r>
      <w:r w:rsidR="002217F7" w:rsidRPr="001B5EAD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već</w:t>
      </w:r>
      <w:r w:rsidR="002217F7" w:rsidRPr="001B5EAD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ratifikovanim</w:t>
      </w:r>
      <w:r w:rsidR="002217F7" w:rsidRPr="001B5EAD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instrumentima</w:t>
      </w:r>
      <w:r w:rsidR="002217F7" w:rsidRPr="001B5EAD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međunarodnog</w:t>
      </w:r>
      <w:r w:rsidR="002217F7" w:rsidRPr="001B5EAD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prava</w:t>
      </w:r>
      <w:r w:rsidR="00023280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od</w:t>
      </w:r>
      <w:r w:rsidR="00023280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strane</w:t>
      </w:r>
      <w:r w:rsidR="00023280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Republike</w:t>
      </w:r>
      <w:r w:rsidR="00023280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Srbije</w:t>
      </w:r>
      <w:r w:rsidR="00023280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>:</w:t>
      </w:r>
      <w:r w:rsidR="002217F7" w:rsidRPr="001B5EAD">
        <w:rPr>
          <w:rFonts w:ascii="Times New Roman" w:eastAsiaTheme="maj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Bazelskom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konvencijom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kontroli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prekograničnog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kretanja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opasnih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otpada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023280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njihovog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odlaganja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Roterdamskom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konvencijom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postupku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davanja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saglasnosti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na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osnovu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prethodnog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obaveštenja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određene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opasne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hemikalije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pesticide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međunarodnoj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trgovini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Stokholmskom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konvencijom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dugotrajnim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organskim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zagađujućim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supstancama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Republika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Srbija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preduzela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odgovarajuće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korake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za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usaglašavanje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nacionalnih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propisa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iz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oblasti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bezbednog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upravljanja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živom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sa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relevantnim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pravnim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aktima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EU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iz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ove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oblasti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,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naročito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s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Uredbom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EU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852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/</w:t>
      </w:r>
      <w:r w:rsidR="00DE1F3B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2017</w:t>
      </w:r>
      <w:r w:rsidR="00DE1F3B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>živi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ru-RU"/>
        </w:rPr>
        <w:t xml:space="preserve">.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Nova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Uredba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EU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br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. 852/2017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živi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uskladila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zakonodavstvo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EU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Minamata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konvencijom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živi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njenim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odredbama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dodatno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zabranjuje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izvoz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žive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,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obezbeđuje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bezbedno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skladištenje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žive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živinog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otpada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i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ograničava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korišćenje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žive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u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mnogim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proizvodima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.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Republika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Srbija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započela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usklađivanje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nacionalnog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zakonodavstva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sa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predmetnom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uredbom</w:t>
      </w:r>
      <w:r w:rsidR="002217F7" w:rsidRPr="001B5EAD">
        <w:rPr>
          <w:rFonts w:ascii="Times New Roman" w:eastAsiaTheme="minorEastAsia" w:hAnsi="Times New Roman" w:cs="Times New Roman"/>
          <w:kern w:val="24"/>
          <w:sz w:val="24"/>
          <w:szCs w:val="24"/>
          <w:lang w:val="sr-Cyrl-RS"/>
        </w:rPr>
        <w:t>.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siskusiji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Dobrica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Veselinović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 w:rsidR="000232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Sandra</w:t>
      </w:r>
      <w:r w:rsidR="000232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Dokić</w:t>
      </w:r>
      <w:r w:rsidR="000232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Sara</w:t>
      </w:r>
      <w:r w:rsidR="000232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Pavkov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Bulatović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658B" w:rsidRPr="00FC5012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zahvalio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sadržajnoj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prezentaciji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Izrazio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žaljenje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sazvana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vreme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održavanja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važnom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temom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0F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mu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otežava</w:t>
      </w:r>
      <w:r w:rsidR="000F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F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detaljno</w:t>
      </w:r>
      <w:r w:rsidR="000F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posveti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predloženim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dokumentima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rasprava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objedinjena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uticati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sadržajnost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Zeleno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levi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front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svakako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podneti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predloge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proceni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uticaja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strateškoj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proceni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uticaja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životnu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sredinu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jedna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primedbi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odnosi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obrazloženja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objašnjenja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menja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metodološkim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pravilima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svemu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osnova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odredbe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dodatno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prodube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reše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drugi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primedba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uglavnom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unapred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najčešće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čeka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nešto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loše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desi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onda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preduzimaju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Zamolio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pogledu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uticati</w:t>
      </w:r>
      <w:r w:rsidR="00C125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potencijalni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Rio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Tinto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kome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paralelno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raspravlja</w:t>
      </w:r>
      <w:r w:rsidR="00DA4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Postavio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A28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dešava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mrežom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Zelena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stolica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pogledu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sednicama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dokle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stiglo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obrazovanjem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neformalne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Zelene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7174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FC5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izrazila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nezadovoljstvo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dve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prošlo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pola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D40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sazvati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novu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dosta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ranije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ono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odnosi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rudarenje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litijuma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tema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aktuelne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obraditi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sastaje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jednom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mesčno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nalazi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ekološkoj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katastrofi</w:t>
      </w:r>
      <w:r w:rsidR="00FC5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Zamolila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budu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sazivane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vreme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važna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tema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kojoj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pojedini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žele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učestvuju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</w:p>
    <w:p w:rsidR="00C720D0" w:rsidRPr="00B91FE1" w:rsidRDefault="00AC6089" w:rsidP="00C720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predlozi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posao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profesionalno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obavili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želi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nekoliko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najpre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njihovo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viđenje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predlozi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uticati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aktuelnu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situaciju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Šapcu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koga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dolazi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Naime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firma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Eliksir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Zorka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Šapca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spada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Seveso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postrojenja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višeg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podrazumeva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dužna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poseduje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bezbednosti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udesa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februaru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dobila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saglasnost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Shodno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Šabac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velikih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udesa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Međutim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obzira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izdalo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ovoj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firmi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integrisanu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IPPC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dozvolu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skladištenje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tretman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opasnog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neopasnog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otpada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Stoga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postavila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sličnim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firmama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strateškoj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proceni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uticaja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životnu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sredinu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počne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primenjuje</w:t>
      </w:r>
      <w:r w:rsidR="00B91F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C720D0" w:rsidRDefault="00AC6089" w:rsidP="00C720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Predlogom</w:t>
      </w:r>
      <w:r w:rsidR="00C72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strateškoj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proceni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uticaja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životnu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sekretarka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takva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procena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površine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postavila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podrazumeva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samog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jasno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Zatim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pitala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zna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kroz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štampani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medij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obavljeno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objavljivanje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nadzorom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skrenula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pažnju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bira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kadrove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donosi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važne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zatražila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pojašnjenje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metodologije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Kaznenih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odredbi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nalazi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delu</w:t>
      </w:r>
      <w:r w:rsidR="0087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prestupi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novčane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kazne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smešno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dovesti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privrednici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preduzetnici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plaćati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kazne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baviti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ekološkom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standardizacijom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realnosti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kazne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budu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drakonske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9F1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kršile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B2F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91FE1" w:rsidRDefault="00B91FE1" w:rsidP="00B91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91FE1" w:rsidRDefault="00AC6089" w:rsidP="00655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svakako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truditi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sednicama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narativ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pristojan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čuvao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dignitet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samog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razliku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prošlog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saziva</w:t>
      </w:r>
      <w:r w:rsidR="00655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tiče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vremena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sazivanja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svako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vreme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podjednako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dobro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odgovorno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njih</w:t>
      </w:r>
      <w:r w:rsidR="001E7DC9" w:rsidRP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dolaze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posao</w:t>
      </w:r>
      <w:r w:rsidR="00C00EA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221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podsetila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deponijama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poslednjim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dostupnim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podacima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MUP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tokom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jedne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zabeleženo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1760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požara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značajno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uticalo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loš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701D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01D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zemlji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70%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uopšte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prostorno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planskim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dokumentima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studija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proceni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uticaja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životnu</w:t>
      </w:r>
      <w:r w:rsidR="0027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sredinu</w:t>
      </w:r>
      <w:r w:rsidR="00701D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reke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izlivaju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fekalne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vode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adekvatni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sistemi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prečišćavanje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otpadnih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voda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reke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zatrpane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otpadom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posebna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priča</w:t>
      </w:r>
      <w:r w:rsidR="00BF7323" w:rsidRP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opasnim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otpadom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svih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ovih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problema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jedinicama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lokalnih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samouprava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F7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dalje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zaposlenih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poslovima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C05C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1C6D9D" w:rsidRDefault="004C1D8F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uticaja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garantuje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pokriće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dalju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devastaciju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Naime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4. (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Načela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strateške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procene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7. (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Hijerarhijski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okvir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i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osnova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i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izbegavanje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dvostruke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procene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omogućavaju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upotrebu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zastarelih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otvarajući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prostor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zloupotrebe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(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Odluka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da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se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ne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sprovodi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postupak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strateške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procene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i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obaveštavanje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zainteresovanih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organa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i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organizacija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i</w:t>
      </w:r>
      <w:r w:rsidRPr="004C1D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javnosti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žalba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iskustva</w:t>
      </w:r>
      <w:r w:rsidR="000232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kazne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propisane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37,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lažnih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obrađivača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premale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1C6D9D" w:rsidRDefault="001C6D9D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C1D8F" w:rsidRDefault="001C6D9D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pomenuto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zanimljivo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čuti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divljih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uklonjeno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2000.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2012.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tog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danas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nesanitarnih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nastalo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naznačenom</w:t>
      </w:r>
      <w:r w:rsidR="000F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prethodnom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sada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4C1D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23F7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Sandra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Dokić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državna</w:t>
      </w:r>
      <w:r w:rsidR="001C6D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rekla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pomenuta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uključujući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višedecenijskih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rešiti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noći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prethodnom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napravljeno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regionalnih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jedna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njih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Užicu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>, „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Duboko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02328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kojoj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gravitira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devet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požara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njoj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došlo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usled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neadekvatnog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samoj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ovoj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deponiji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Objasnila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94D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zatvaranje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nesanitarnih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kojih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130),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najpre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otvaranje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regionalnih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nastajanje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regionalnih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centara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upravljanje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otpadom</w:t>
      </w:r>
      <w:r w:rsidR="008C21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prethodnom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izgrađen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centar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Subotici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intenzivno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još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devet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njih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imati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sanitarne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biće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uveden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sistem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odvajanja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otpada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potrude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optad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odvaja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tamo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odvajanje</w:t>
      </w:r>
      <w:r w:rsidR="001E7DC9" w:rsidRP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moguće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ovo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uložilo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napora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sprovedena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kampanja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kojom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obratilo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građanima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molbom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učestvuju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celom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procesu</w:t>
      </w:r>
      <w:r w:rsidR="005466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svest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problemima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Regionalnom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deponijom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Užicu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vreme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uvidelo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pomenuti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desiti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čega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ona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postala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projekta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kojim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finansirati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 w:rsidR="00D213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saniranje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deponije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proširenje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njenih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ćelija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nju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dalje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mogao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odlaže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otpad</w:t>
      </w:r>
      <w:r w:rsidR="00F736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</w:rPr>
        <w:t>n</w:t>
      </w:r>
      <w:r w:rsidR="00F736DB">
        <w:rPr>
          <w:rFonts w:ascii="Times New Roman" w:eastAsia="Times New Roman" w:hAnsi="Times New Roman" w:cs="Times New Roman"/>
          <w:sz w:val="24"/>
          <w:szCs w:val="24"/>
        </w:rPr>
        <w:t>a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praviće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kompostana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uspostaviti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sistem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odvajnja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otpada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upravo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mogla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opslužuje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jedinice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lokalnih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makar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narednih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 w:rsidR="00F736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izgrađena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apsolutno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standardima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tiče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nesanitarnih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90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svaku</w:t>
      </w:r>
      <w:r w:rsidR="00C90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90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steknu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uslovi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zatvorena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svake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izdvajaju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ozbiljna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potrebe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povećan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tri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puta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odnosu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2020.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ideju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izgradnje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regionalnih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centara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zatvaranje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nesanitarnih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deponija</w:t>
      </w:r>
      <w:r w:rsidR="00052D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svake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četvrtu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redom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čiste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divlje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deponije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kojih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2020.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jednom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momentu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3500,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tada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ih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očišćeno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1100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prati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tj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sprečava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850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one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ponovo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stvaraju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postavljanjem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kamera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kontrolisanjem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celog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04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87217" w:rsidRDefault="00823F7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podrazumeva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izuzetne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investicione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troškove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obezbediti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063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dugo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traju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planovi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donose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pomažu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jasnije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sagleda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uraditi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standardi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moraju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zadovoljiti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A2C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 w:rsidR="00BA2C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obezbediti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počne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njihovom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realizacijom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prethodnom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jedna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jedinica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imala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rešen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otpadnih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voda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vrlo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kompleksni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projekti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zahtevaju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vreme</w:t>
      </w:r>
      <w:r w:rsidR="000B72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0B72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0B72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B72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obezbeđena</w:t>
      </w:r>
      <w:r w:rsidR="005328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obezbeđena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kreditna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poboljšanje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javnim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ustanovama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zamenjeni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kotlovi</w:t>
      </w:r>
      <w:r w:rsidR="005C572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nastaviće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zamenu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kotlova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domaćinstvima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odustajanje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čvrstog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goriva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E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prelazak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ekološki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prihvatljive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energente</w:t>
      </w:r>
      <w:r w:rsidR="0031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314324" w:rsidRDefault="00314324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govori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važno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BA2C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narednih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intenzivan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obezbeđivanje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izuzetno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754A5" w:rsidRDefault="00C90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Pavkov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sekretarka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osvrnula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čemu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doprinese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strateškoj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proceni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uticaja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životnu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sredinu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rekavši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suština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upravo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interesi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celoj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zemlji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Ovakav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doprinosi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većem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javnosti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druge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značajno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njime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precizno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definišu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kriterijumi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Listi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bili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predmet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potencijalnog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odlučivanja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neće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postojati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sumnja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definisanost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kriterijuma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učestvuje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donošenju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odluka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387217" w:rsidRDefault="00AC6089" w:rsidP="00475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stručna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nezavisna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ekspertiza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objasnila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sajtu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nalazi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spisak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eksperata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kojima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profesori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akademskih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zajednica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relevantnih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oni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smeju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timovima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pravnih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angažovani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izradu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akata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predmet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definisanja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procene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uticaja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čime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diverzifikuje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uticaj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različitih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struka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obezbeđuje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dođe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preklapanja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onih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izradili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onih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tehničkoj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razmatrati</w:t>
      </w:r>
      <w:r w:rsidR="00920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84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4754A5" w:rsidRDefault="00AC6089" w:rsidP="00475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Rekla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započet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kreiranju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novog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aktuelni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pretrpeo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2009.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tada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nivou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doneto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direktiva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Ministarstvom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kompleksni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radnu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njegovu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izradu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uključeni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civilnog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7132A2" w:rsidRDefault="00AC6089" w:rsidP="00475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zagađenošću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glavnom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rekla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C4B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podacima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Gradskog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zavoda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automatske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merne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stanice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srednja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vrednost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PM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čestica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inače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referentna</w:t>
      </w:r>
      <w:r w:rsidR="004754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indeks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uopšte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prikazivao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pokazuje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trend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smanjenja</w:t>
      </w:r>
      <w:r w:rsidR="004119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zagađenosti</w:t>
      </w:r>
      <w:r w:rsidR="005C4B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C4B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Gradu</w:t>
      </w:r>
      <w:r w:rsidR="005C4B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iako</w:t>
      </w:r>
      <w:r w:rsidR="00BA2C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jeste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zagađen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ponajviše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usled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azotnih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oksida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dolaze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preko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41%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drumskog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saobraćaja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nadomešćeno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kroz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meru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subvencionisanja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električnih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vozila</w:t>
      </w:r>
      <w:r w:rsidR="00263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DE2135" w:rsidRDefault="00AC6089" w:rsidP="00475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istorijski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otpad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rekla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počelo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izradom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Bele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knjige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kojoj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definisane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najkritičnije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lokacije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istorijskog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otpada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prioritetima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započeto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uklanjanje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ogromnih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količina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otpada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tih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lokacija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4754A5" w:rsidRDefault="00AC6089" w:rsidP="00475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Navela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uvođenjem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regulative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izmenom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postojeće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deluje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životnoj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sredini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davanja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pozitivnog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rezultata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vidljiv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građanima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kroz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primere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prakse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Studioznim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delovanjem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ulažu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napori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razumeju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potrebe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zajednice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tog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razloga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mnogi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vremena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provode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terenu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kancelarijama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omogućava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direktiva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prilagode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našim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socio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ekonomskim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potrebama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stvarnu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D136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DD26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DE21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132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C4B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87217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6444" w:rsidRDefault="00387217" w:rsidP="0038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Bulatović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F6D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stoje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opaske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pripadaju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opoziciji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nemaju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diskutuju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predlozima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im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omogućeno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ovoj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ovi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predlozi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budu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387217" w:rsidRDefault="00AC6089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Zahvalio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predstavnicima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principu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proglašavanja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zaštićenih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područja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rekao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pogledu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urađeno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dolazi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Šida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zaštićeno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područje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proglašen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Park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prirode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Bosut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međutim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području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uočeno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dugogodišnje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gomilanje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đubreta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pokriveno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zemljom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združenom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akcijom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uz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podršku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uspešno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A2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izvučeno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ukl</w:t>
      </w:r>
      <w:r w:rsidR="008A122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njeno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167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kamiona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đubreta</w:t>
      </w:r>
      <w:r w:rsidR="008E6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8A122B" w:rsidRDefault="008A122B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122B" w:rsidRDefault="00AC6089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Dobrica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Veselinović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ponovio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ubuduće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</w:t>
      </w:r>
      <w:r w:rsidR="00C902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zakazivati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terminima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neće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preklapati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sednicama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ukoliko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tema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važna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A122B" w:rsidRDefault="008A122B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122B" w:rsidRDefault="00AC6089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="008A122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Topalović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teme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nadležnosti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stručnog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stanovišta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prilaziti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političkih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obračuna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pominjanja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prošlosti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Još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jednom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ponovila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molbu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češće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održavaju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preklapaju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sednicama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8A12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D6295F" w:rsidRDefault="00D6295F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5DE" w:rsidRDefault="00AC6089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Pavkov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rekla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jako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dobro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ekologa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različite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struke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interesuju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fizičari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hemičari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pravnici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rudarsko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geološki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inženjeri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hidrogeolozi</w:t>
      </w:r>
      <w:r w:rsidR="00D12CB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omogućiti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stručniju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raspravu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predstojećim</w:t>
      </w:r>
      <w:r w:rsidR="00D12C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dokumentima</w:t>
      </w:r>
      <w:r w:rsidR="00D6295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515DE" w:rsidRDefault="002515DE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5DE" w:rsidRDefault="00AC6089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Rističević</w:t>
      </w:r>
      <w:r w:rsidR="00EB24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B24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prisutnima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podelio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anegdotu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vremena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Inđija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tiče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2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2515DE" w:rsidRDefault="002515DE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5DE" w:rsidRDefault="00AC6089" w:rsidP="002515DE">
      <w:pPr>
        <w:pStyle w:val="NoSpacing"/>
        <w:tabs>
          <w:tab w:val="left" w:pos="900"/>
        </w:tabs>
        <w:ind w:firstLine="709"/>
        <w:rPr>
          <w:b/>
          <w:color w:val="000000"/>
          <w:sz w:val="22"/>
          <w:szCs w:val="22"/>
          <w:lang w:val="sr-Cyrl-RS" w:eastAsia="sr-Cyrl-CS"/>
        </w:rPr>
      </w:pPr>
      <w:r>
        <w:rPr>
          <w:sz w:val="24"/>
          <w:szCs w:val="24"/>
          <w:lang w:val="sr-Cyrl-RS" w:eastAsia="sr-Cyrl-CS"/>
        </w:rPr>
        <w:t>Nakon</w:t>
      </w:r>
      <w:r w:rsidR="002515DE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zaključene</w:t>
      </w:r>
      <w:r w:rsidR="002515DE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rasprave</w:t>
      </w:r>
      <w:r w:rsidR="002515DE" w:rsidRPr="002515DE">
        <w:rPr>
          <w:sz w:val="24"/>
          <w:szCs w:val="24"/>
          <w:lang w:val="sr-Cyrl-RS" w:eastAsia="sr-Cyrl-CS"/>
        </w:rPr>
        <w:t xml:space="preserve">, </w:t>
      </w:r>
      <w:r>
        <w:rPr>
          <w:sz w:val="24"/>
          <w:szCs w:val="24"/>
          <w:lang w:val="sr-Cyrl-RS" w:eastAsia="sr-Cyrl-CS"/>
        </w:rPr>
        <w:t>na</w:t>
      </w:r>
      <w:r w:rsidR="002515DE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predlog</w:t>
      </w:r>
      <w:r w:rsidR="002515DE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predsednika</w:t>
      </w:r>
      <w:r w:rsidR="002515DE" w:rsidRPr="002515DE">
        <w:rPr>
          <w:sz w:val="24"/>
          <w:szCs w:val="24"/>
          <w:lang w:val="sr-Cyrl-RS" w:eastAsia="sr-Cyrl-CS"/>
        </w:rPr>
        <w:t xml:space="preserve">, </w:t>
      </w:r>
      <w:r>
        <w:rPr>
          <w:sz w:val="24"/>
          <w:szCs w:val="24"/>
          <w:lang w:val="sr-Cyrl-RS" w:eastAsia="sr-Cyrl-CS"/>
        </w:rPr>
        <w:t>Odbor</w:t>
      </w:r>
      <w:r w:rsidR="002515DE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je</w:t>
      </w:r>
      <w:r w:rsidR="002515DE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većinom</w:t>
      </w:r>
      <w:r w:rsidR="002515DE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glasova</w:t>
      </w:r>
      <w:r w:rsidR="002515DE" w:rsidRPr="002515DE">
        <w:rPr>
          <w:sz w:val="24"/>
          <w:szCs w:val="24"/>
          <w:lang w:val="sr-Cyrl-RS" w:eastAsia="sr-Cyrl-CS"/>
        </w:rPr>
        <w:t xml:space="preserve"> </w:t>
      </w:r>
      <w:r w:rsidR="002515DE">
        <w:rPr>
          <w:color w:val="000000"/>
          <w:sz w:val="24"/>
          <w:szCs w:val="24"/>
          <w:lang w:val="sr-Cyrl-RS" w:eastAsia="sr-Cyrl-CS"/>
        </w:rPr>
        <w:t xml:space="preserve">(11 </w:t>
      </w:r>
      <w:r>
        <w:rPr>
          <w:color w:val="000000"/>
          <w:sz w:val="24"/>
          <w:szCs w:val="24"/>
          <w:lang w:val="sr-Cyrl-RS" w:eastAsia="sr-Cyrl-CS"/>
        </w:rPr>
        <w:t>za</w:t>
      </w:r>
      <w:r w:rsidR="002515DE">
        <w:rPr>
          <w:color w:val="000000"/>
          <w:sz w:val="24"/>
          <w:szCs w:val="24"/>
          <w:lang w:val="sr-Cyrl-RS" w:eastAsia="sr-Cyrl-CS"/>
        </w:rPr>
        <w:t xml:space="preserve">, </w:t>
      </w:r>
      <w:r w:rsidR="002515DE" w:rsidRPr="002515DE">
        <w:rPr>
          <w:color w:val="000000"/>
          <w:sz w:val="24"/>
          <w:szCs w:val="24"/>
          <w:lang w:val="sr-Cyrl-RS" w:eastAsia="sr-Cyrl-CS"/>
        </w:rPr>
        <w:t xml:space="preserve">1 </w:t>
      </w:r>
      <w:r>
        <w:rPr>
          <w:color w:val="000000"/>
          <w:sz w:val="24"/>
          <w:szCs w:val="24"/>
          <w:lang w:val="sr-Cyrl-RS" w:eastAsia="sr-Cyrl-CS"/>
        </w:rPr>
        <w:t>uzdržan</w:t>
      </w:r>
      <w:r w:rsidR="002515DE">
        <w:rPr>
          <w:color w:val="000000"/>
          <w:sz w:val="24"/>
          <w:szCs w:val="24"/>
          <w:lang w:val="sr-Cyrl-RS" w:eastAsia="sr-Cyrl-CS"/>
        </w:rPr>
        <w:t xml:space="preserve">, 1 </w:t>
      </w:r>
      <w:r>
        <w:rPr>
          <w:color w:val="000000"/>
          <w:sz w:val="24"/>
          <w:szCs w:val="24"/>
          <w:lang w:val="sr-Cyrl-RS" w:eastAsia="sr-Cyrl-CS"/>
        </w:rPr>
        <w:t>nije</w:t>
      </w:r>
      <w:r w:rsid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glasao</w:t>
      </w:r>
      <w:r w:rsidR="002515DE" w:rsidRPr="002515DE">
        <w:rPr>
          <w:color w:val="000000"/>
          <w:sz w:val="24"/>
          <w:szCs w:val="24"/>
          <w:lang w:val="sr-Cyrl-RS" w:eastAsia="sr-Cyrl-CS"/>
        </w:rPr>
        <w:t xml:space="preserve">) </w:t>
      </w:r>
      <w:r>
        <w:rPr>
          <w:color w:val="000000"/>
          <w:sz w:val="24"/>
          <w:szCs w:val="24"/>
          <w:lang w:val="sr-Cyrl-RS" w:eastAsia="sr-Cyrl-CS"/>
        </w:rPr>
        <w:t>odlučio</w:t>
      </w:r>
      <w:r w:rsidR="002515DE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da</w:t>
      </w:r>
      <w:r w:rsidR="002515DE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predloži</w:t>
      </w:r>
      <w:r w:rsidR="002515DE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Narodnoj</w:t>
      </w:r>
      <w:r w:rsidR="002515DE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skupštini</w:t>
      </w:r>
      <w:r w:rsidR="002515DE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da</w:t>
      </w:r>
      <w:r w:rsidR="002515DE" w:rsidRPr="002515DE">
        <w:rPr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prihvati</w:t>
      </w:r>
      <w:r w:rsidR="002515DE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Predlog</w:t>
      </w:r>
      <w:r w:rsidR="002515DE" w:rsidRPr="002515DE">
        <w:rPr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zakona</w:t>
      </w:r>
      <w:r w:rsidR="002515DE" w:rsidRPr="002515DE">
        <w:rPr>
          <w:b/>
          <w:color w:val="000000"/>
          <w:sz w:val="22"/>
          <w:szCs w:val="22"/>
          <w:lang w:val="sr-Cyrl-RS" w:eastAsia="sr-Cyrl-CS"/>
        </w:rPr>
        <w:t xml:space="preserve"> </w:t>
      </w:r>
      <w:r>
        <w:rPr>
          <w:b/>
          <w:color w:val="000000"/>
          <w:sz w:val="22"/>
          <w:szCs w:val="22"/>
          <w:lang w:val="sr-Cyrl-RS" w:eastAsia="sr-Cyrl-CS"/>
        </w:rPr>
        <w:t>o</w:t>
      </w:r>
      <w:r w:rsidR="002515DE" w:rsidRPr="002515DE">
        <w:rPr>
          <w:b/>
          <w:color w:val="000000"/>
          <w:sz w:val="22"/>
          <w:szCs w:val="22"/>
          <w:lang w:val="sr-Cyrl-RS" w:eastAsia="sr-Cyrl-CS"/>
        </w:rPr>
        <w:t xml:space="preserve"> </w:t>
      </w:r>
      <w:r>
        <w:rPr>
          <w:b/>
          <w:sz w:val="24"/>
          <w:szCs w:val="24"/>
          <w:lang w:val="sr-Cyrl-CS"/>
        </w:rPr>
        <w:t>potvrđivanju</w:t>
      </w:r>
      <w:r w:rsidR="002515DE" w:rsidRPr="002515D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Minamata</w:t>
      </w:r>
      <w:r w:rsidR="002515DE" w:rsidRPr="002515D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konvencije</w:t>
      </w:r>
      <w:r w:rsidR="002515DE" w:rsidRPr="002515D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o</w:t>
      </w:r>
      <w:r w:rsidR="002515DE" w:rsidRPr="002515D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živi</w:t>
      </w:r>
      <w:r w:rsidR="002515DE" w:rsidRPr="002515DE">
        <w:rPr>
          <w:b/>
          <w:sz w:val="24"/>
          <w:szCs w:val="24"/>
          <w:lang w:val="sr-Cyrl-CS"/>
        </w:rPr>
        <w:t xml:space="preserve">, </w:t>
      </w:r>
      <w:r>
        <w:rPr>
          <w:b/>
          <w:sz w:val="24"/>
          <w:szCs w:val="24"/>
          <w:lang w:val="sr-Cyrl-CS"/>
        </w:rPr>
        <w:t>koji</w:t>
      </w:r>
      <w:r w:rsidR="002515DE" w:rsidRPr="002515D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je</w:t>
      </w:r>
      <w:r w:rsidR="002515DE" w:rsidRPr="002515D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podnela</w:t>
      </w:r>
      <w:r w:rsidR="002515DE" w:rsidRPr="002515D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Vlada</w:t>
      </w:r>
      <w:r w:rsidR="002515DE" w:rsidRPr="002515DE">
        <w:rPr>
          <w:b/>
          <w:color w:val="000000"/>
          <w:sz w:val="22"/>
          <w:szCs w:val="22"/>
          <w:lang w:val="sr-Cyrl-RS" w:eastAsia="sr-Cyrl-CS"/>
        </w:rPr>
        <w:t>.</w:t>
      </w:r>
    </w:p>
    <w:p w:rsidR="00684B15" w:rsidRDefault="00684B15" w:rsidP="002515DE">
      <w:pPr>
        <w:pStyle w:val="NoSpacing"/>
        <w:tabs>
          <w:tab w:val="left" w:pos="900"/>
        </w:tabs>
        <w:ind w:firstLine="709"/>
        <w:rPr>
          <w:b/>
          <w:color w:val="000000"/>
          <w:sz w:val="22"/>
          <w:szCs w:val="22"/>
          <w:lang w:val="sr-Cyrl-RS" w:eastAsia="sr-Cyrl-CS"/>
        </w:rPr>
      </w:pPr>
    </w:p>
    <w:p w:rsidR="00684B15" w:rsidRDefault="00AC6089" w:rsidP="002515DE">
      <w:pPr>
        <w:pStyle w:val="NoSpacing"/>
        <w:tabs>
          <w:tab w:val="left" w:pos="900"/>
        </w:tabs>
        <w:ind w:firstLine="709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RS" w:eastAsia="sr-Cyrl-CS"/>
        </w:rPr>
        <w:t>Na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predlog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predsednika</w:t>
      </w:r>
      <w:r w:rsidR="00684B15" w:rsidRPr="002515DE">
        <w:rPr>
          <w:sz w:val="24"/>
          <w:szCs w:val="24"/>
          <w:lang w:val="sr-Cyrl-RS" w:eastAsia="sr-Cyrl-CS"/>
        </w:rPr>
        <w:t xml:space="preserve">, </w:t>
      </w:r>
      <w:r>
        <w:rPr>
          <w:sz w:val="24"/>
          <w:szCs w:val="24"/>
          <w:lang w:val="sr-Cyrl-RS" w:eastAsia="sr-Cyrl-CS"/>
        </w:rPr>
        <w:t>Odbor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je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većinom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glasova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 w:rsidR="00684B15">
        <w:rPr>
          <w:color w:val="000000"/>
          <w:sz w:val="24"/>
          <w:szCs w:val="24"/>
          <w:lang w:val="sr-Cyrl-RS" w:eastAsia="sr-Cyrl-CS"/>
        </w:rPr>
        <w:t xml:space="preserve">(10 </w:t>
      </w:r>
      <w:r>
        <w:rPr>
          <w:color w:val="000000"/>
          <w:sz w:val="24"/>
          <w:szCs w:val="24"/>
          <w:lang w:val="sr-Cyrl-RS" w:eastAsia="sr-Cyrl-CS"/>
        </w:rPr>
        <w:t>za</w:t>
      </w:r>
      <w:r w:rsidR="00684B15">
        <w:rPr>
          <w:color w:val="000000"/>
          <w:sz w:val="24"/>
          <w:szCs w:val="24"/>
          <w:lang w:val="sr-Cyrl-RS" w:eastAsia="sr-Cyrl-CS"/>
        </w:rPr>
        <w:t>, 2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uzdržana</w:t>
      </w:r>
      <w:r w:rsidR="00684B15">
        <w:rPr>
          <w:color w:val="000000"/>
          <w:sz w:val="24"/>
          <w:szCs w:val="24"/>
          <w:lang w:val="sr-Cyrl-RS" w:eastAsia="sr-Cyrl-CS"/>
        </w:rPr>
        <w:t xml:space="preserve">, 1 </w:t>
      </w:r>
      <w:r>
        <w:rPr>
          <w:color w:val="000000"/>
          <w:sz w:val="24"/>
          <w:szCs w:val="24"/>
          <w:lang w:val="sr-Cyrl-RS" w:eastAsia="sr-Cyrl-CS"/>
        </w:rPr>
        <w:t>nije</w:t>
      </w:r>
      <w:r w:rsidR="00684B15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glasao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) </w:t>
      </w:r>
      <w:r>
        <w:rPr>
          <w:color w:val="000000"/>
          <w:sz w:val="24"/>
          <w:szCs w:val="24"/>
          <w:lang w:val="sr-Cyrl-RS" w:eastAsia="sr-Cyrl-CS"/>
        </w:rPr>
        <w:t>odlučio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da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predloži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Narodnoj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skupštini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da</w:t>
      </w:r>
      <w:r w:rsidR="00684B15" w:rsidRPr="002515DE">
        <w:rPr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prihvati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Predlog</w:t>
      </w:r>
      <w:r w:rsidR="00684B15" w:rsidRPr="002515DE">
        <w:rPr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zakona</w:t>
      </w:r>
      <w:r w:rsidR="00684B15" w:rsidRPr="002515DE">
        <w:rPr>
          <w:b/>
          <w:color w:val="000000"/>
          <w:sz w:val="22"/>
          <w:szCs w:val="22"/>
          <w:lang w:val="sr-Cyrl-RS" w:eastAsia="sr-Cyrl-CS"/>
        </w:rPr>
        <w:t xml:space="preserve"> </w:t>
      </w:r>
      <w:r>
        <w:rPr>
          <w:b/>
          <w:color w:val="000000"/>
          <w:sz w:val="22"/>
          <w:szCs w:val="22"/>
          <w:lang w:val="sr-Cyrl-RS" w:eastAsia="sr-Cyrl-CS"/>
        </w:rPr>
        <w:t>o</w:t>
      </w:r>
      <w:r w:rsidR="00684B15">
        <w:rPr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proceni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uticaja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na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životnu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sredinu</w:t>
      </w:r>
      <w:r w:rsidR="00684B15" w:rsidRPr="00684B15">
        <w:rPr>
          <w:b/>
          <w:sz w:val="24"/>
          <w:szCs w:val="24"/>
          <w:lang w:val="sr-Cyrl-CS"/>
        </w:rPr>
        <w:t xml:space="preserve">, </w:t>
      </w:r>
      <w:r>
        <w:rPr>
          <w:b/>
          <w:sz w:val="24"/>
          <w:szCs w:val="24"/>
          <w:lang w:val="sr-Cyrl-CS"/>
        </w:rPr>
        <w:t>koji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je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podnela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Vlada</w:t>
      </w:r>
      <w:r w:rsidR="00684B15" w:rsidRPr="00684B15">
        <w:rPr>
          <w:b/>
          <w:sz w:val="24"/>
          <w:szCs w:val="24"/>
          <w:lang w:val="sr-Cyrl-CS"/>
        </w:rPr>
        <w:t xml:space="preserve">, </w:t>
      </w:r>
      <w:r>
        <w:rPr>
          <w:b/>
          <w:sz w:val="24"/>
          <w:szCs w:val="24"/>
          <w:lang w:val="sr-Cyrl-CS"/>
        </w:rPr>
        <w:t>u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načelu</w:t>
      </w:r>
      <w:r w:rsidR="00684B15">
        <w:rPr>
          <w:b/>
          <w:sz w:val="24"/>
          <w:szCs w:val="24"/>
          <w:lang w:val="sr-Cyrl-CS"/>
        </w:rPr>
        <w:t>.</w:t>
      </w:r>
    </w:p>
    <w:p w:rsidR="00684B15" w:rsidRDefault="00684B15" w:rsidP="002515DE">
      <w:pPr>
        <w:pStyle w:val="NoSpacing"/>
        <w:tabs>
          <w:tab w:val="left" w:pos="900"/>
        </w:tabs>
        <w:ind w:firstLine="709"/>
        <w:rPr>
          <w:b/>
          <w:sz w:val="24"/>
          <w:szCs w:val="24"/>
          <w:lang w:val="sr-Cyrl-CS"/>
        </w:rPr>
      </w:pPr>
    </w:p>
    <w:p w:rsidR="00684B15" w:rsidRPr="002515DE" w:rsidRDefault="00AC6089" w:rsidP="002515DE">
      <w:pPr>
        <w:pStyle w:val="NoSpacing"/>
        <w:tabs>
          <w:tab w:val="left" w:pos="900"/>
        </w:tabs>
        <w:ind w:firstLine="709"/>
        <w:rPr>
          <w:b/>
          <w:sz w:val="24"/>
          <w:szCs w:val="24"/>
          <w:lang w:val="sr-Cyrl-RS" w:eastAsia="sr-Cyrl-CS"/>
        </w:rPr>
      </w:pPr>
      <w:r>
        <w:rPr>
          <w:sz w:val="24"/>
          <w:szCs w:val="24"/>
          <w:lang w:val="sr-Cyrl-RS" w:eastAsia="sr-Cyrl-CS"/>
        </w:rPr>
        <w:t>Na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predlog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predsednika</w:t>
      </w:r>
      <w:r w:rsidR="00684B15" w:rsidRPr="002515DE">
        <w:rPr>
          <w:sz w:val="24"/>
          <w:szCs w:val="24"/>
          <w:lang w:val="sr-Cyrl-RS" w:eastAsia="sr-Cyrl-CS"/>
        </w:rPr>
        <w:t xml:space="preserve">, </w:t>
      </w:r>
      <w:r>
        <w:rPr>
          <w:sz w:val="24"/>
          <w:szCs w:val="24"/>
          <w:lang w:val="sr-Cyrl-RS" w:eastAsia="sr-Cyrl-CS"/>
        </w:rPr>
        <w:t>Odbor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je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većinom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>
        <w:rPr>
          <w:sz w:val="24"/>
          <w:szCs w:val="24"/>
          <w:lang w:val="sr-Cyrl-RS" w:eastAsia="sr-Cyrl-CS"/>
        </w:rPr>
        <w:t>glasova</w:t>
      </w:r>
      <w:r w:rsidR="00684B15" w:rsidRPr="002515DE">
        <w:rPr>
          <w:sz w:val="24"/>
          <w:szCs w:val="24"/>
          <w:lang w:val="sr-Cyrl-RS" w:eastAsia="sr-Cyrl-CS"/>
        </w:rPr>
        <w:t xml:space="preserve"> </w:t>
      </w:r>
      <w:r w:rsidR="00684B15">
        <w:rPr>
          <w:color w:val="000000"/>
          <w:sz w:val="24"/>
          <w:szCs w:val="24"/>
          <w:lang w:val="sr-Cyrl-RS" w:eastAsia="sr-Cyrl-CS"/>
        </w:rPr>
        <w:t xml:space="preserve">(10 </w:t>
      </w:r>
      <w:r>
        <w:rPr>
          <w:color w:val="000000"/>
          <w:sz w:val="24"/>
          <w:szCs w:val="24"/>
          <w:lang w:val="sr-Cyrl-RS" w:eastAsia="sr-Cyrl-CS"/>
        </w:rPr>
        <w:t>za</w:t>
      </w:r>
      <w:r w:rsidR="00684B15">
        <w:rPr>
          <w:color w:val="000000"/>
          <w:sz w:val="24"/>
          <w:szCs w:val="24"/>
          <w:lang w:val="sr-Cyrl-RS" w:eastAsia="sr-Cyrl-CS"/>
        </w:rPr>
        <w:t>, 2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uzdržana</w:t>
      </w:r>
      <w:r w:rsidR="00684B15">
        <w:rPr>
          <w:color w:val="000000"/>
          <w:sz w:val="24"/>
          <w:szCs w:val="24"/>
          <w:lang w:val="sr-Cyrl-RS" w:eastAsia="sr-Cyrl-CS"/>
        </w:rPr>
        <w:t xml:space="preserve">, 1 </w:t>
      </w:r>
      <w:r>
        <w:rPr>
          <w:color w:val="000000"/>
          <w:sz w:val="24"/>
          <w:szCs w:val="24"/>
          <w:lang w:val="sr-Cyrl-RS" w:eastAsia="sr-Cyrl-CS"/>
        </w:rPr>
        <w:t>nije</w:t>
      </w:r>
      <w:r w:rsidR="00684B15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glasao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) </w:t>
      </w:r>
      <w:r>
        <w:rPr>
          <w:color w:val="000000"/>
          <w:sz w:val="24"/>
          <w:szCs w:val="24"/>
          <w:lang w:val="sr-Cyrl-RS" w:eastAsia="sr-Cyrl-CS"/>
        </w:rPr>
        <w:t>odlučio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da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predloži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Narodnoj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skupštini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da</w:t>
      </w:r>
      <w:r w:rsidR="00684B15" w:rsidRPr="002515DE">
        <w:rPr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prihvati</w:t>
      </w:r>
      <w:r w:rsidR="00684B15" w:rsidRPr="002515DE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Predlog</w:t>
      </w:r>
      <w:r w:rsidR="00684B15" w:rsidRPr="002515DE">
        <w:rPr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b/>
          <w:color w:val="000000"/>
          <w:sz w:val="24"/>
          <w:szCs w:val="24"/>
          <w:lang w:val="sr-Cyrl-RS" w:eastAsia="sr-Cyrl-CS"/>
        </w:rPr>
        <w:t>zakona</w:t>
      </w:r>
      <w:r w:rsidR="00684B15" w:rsidRPr="002515DE">
        <w:rPr>
          <w:b/>
          <w:color w:val="000000"/>
          <w:sz w:val="22"/>
          <w:szCs w:val="22"/>
          <w:lang w:val="sr-Cyrl-RS" w:eastAsia="sr-Cyrl-CS"/>
        </w:rPr>
        <w:t xml:space="preserve"> </w:t>
      </w:r>
      <w:r>
        <w:rPr>
          <w:b/>
          <w:color w:val="000000"/>
          <w:sz w:val="22"/>
          <w:szCs w:val="22"/>
          <w:lang w:val="sr-Cyrl-RS" w:eastAsia="sr-Cyrl-CS"/>
        </w:rPr>
        <w:t>o</w:t>
      </w:r>
      <w:r w:rsidR="00684B15">
        <w:rPr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strateškoj</w:t>
      </w:r>
      <w:r w:rsidR="00684B15">
        <w:rPr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proceni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uticaja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na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životnu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sredinu</w:t>
      </w:r>
      <w:r w:rsidR="00684B15" w:rsidRPr="00684B15">
        <w:rPr>
          <w:b/>
          <w:sz w:val="24"/>
          <w:szCs w:val="24"/>
          <w:lang w:val="sr-Cyrl-CS"/>
        </w:rPr>
        <w:t xml:space="preserve">, </w:t>
      </w:r>
      <w:r>
        <w:rPr>
          <w:b/>
          <w:sz w:val="24"/>
          <w:szCs w:val="24"/>
          <w:lang w:val="sr-Cyrl-CS"/>
        </w:rPr>
        <w:t>koji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je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podnela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Vlada</w:t>
      </w:r>
      <w:r w:rsidR="00684B15" w:rsidRPr="00684B15">
        <w:rPr>
          <w:b/>
          <w:sz w:val="24"/>
          <w:szCs w:val="24"/>
          <w:lang w:val="sr-Cyrl-CS"/>
        </w:rPr>
        <w:t xml:space="preserve">, </w:t>
      </w:r>
      <w:r>
        <w:rPr>
          <w:b/>
          <w:sz w:val="24"/>
          <w:szCs w:val="24"/>
          <w:lang w:val="sr-Cyrl-CS"/>
        </w:rPr>
        <w:t>u</w:t>
      </w:r>
      <w:r w:rsidR="00684B15" w:rsidRPr="00684B15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načelu</w:t>
      </w:r>
      <w:r w:rsidR="00684B15">
        <w:rPr>
          <w:b/>
          <w:sz w:val="24"/>
          <w:szCs w:val="24"/>
          <w:lang w:val="sr-Cyrl-CS"/>
        </w:rPr>
        <w:t>.</w:t>
      </w:r>
    </w:p>
    <w:p w:rsidR="00684B15" w:rsidRDefault="00684B15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6295F" w:rsidRPr="00684B15" w:rsidRDefault="00AC6089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Na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predlog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predsednika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Odbor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je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većinom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glasova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(10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2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uzdržana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1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nije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glasao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odlučio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predloži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Narodnoj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skupštini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da</w:t>
      </w:r>
      <w:r w:rsidR="00684B15" w:rsidRPr="00684B15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prihvati</w:t>
      </w:r>
      <w:r w:rsidR="00684B15" w:rsidRPr="00684B15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Predlog</w:t>
      </w:r>
      <w:r w:rsidR="00684B15" w:rsidRPr="00684B15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zakona</w:t>
      </w:r>
      <w:r w:rsidR="00684B15" w:rsidRPr="00684B15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  <w:t>o</w:t>
      </w:r>
      <w:r w:rsidR="00684B15" w:rsidRPr="00684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kontroli</w:t>
      </w:r>
      <w:r w:rsidR="00684B15" w:rsidRPr="00EB24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opasnosti</w:t>
      </w:r>
      <w:r w:rsidR="00684B15" w:rsidRPr="00EB24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od</w:t>
      </w:r>
      <w:r w:rsidR="00684B15" w:rsidRPr="00EB24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velikih</w:t>
      </w:r>
      <w:r w:rsidR="00684B15" w:rsidRPr="00EB24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udesa</w:t>
      </w:r>
      <w:r w:rsidR="00684B15" w:rsidRPr="00EB24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="00684B15" w:rsidRPr="00EB24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uključuju</w:t>
      </w:r>
      <w:r w:rsidR="00684B15" w:rsidRPr="00EB24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opasne</w:t>
      </w:r>
      <w:r w:rsidR="00684B15" w:rsidRPr="00EB24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supstance</w:t>
      </w:r>
      <w:r w:rsidR="00684B15" w:rsidRPr="00684B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="00684B15" w:rsidRPr="00684B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="00684B15" w:rsidRPr="00684B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podnela</w:t>
      </w:r>
      <w:r w:rsidR="00684B15" w:rsidRPr="00684B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Vlada</w:t>
      </w:r>
      <w:r w:rsidR="00684B15" w:rsidRPr="00684B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u</w:t>
      </w:r>
      <w:r w:rsidR="00684B15" w:rsidRPr="00684B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načelu</w:t>
      </w:r>
      <w:r w:rsidR="00684B15" w:rsidRPr="00684B15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D6295F" w:rsidRPr="00684B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84B15" w:rsidRPr="008A122B" w:rsidRDefault="00684B15" w:rsidP="008E64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166D0" w:rsidRPr="00684B15" w:rsidRDefault="00AC6089" w:rsidP="00684B15">
      <w:pPr>
        <w:tabs>
          <w:tab w:val="left" w:pos="0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B24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EB24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24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Milimir</w:t>
      </w:r>
      <w:r w:rsid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Vujadinović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84B15" w:rsidRPr="00684B1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8658B" w:rsidRPr="0048024C" w:rsidRDefault="00AC6089" w:rsidP="003865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zaključena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D686B" w:rsidRPr="0048024C" w:rsidRDefault="008D686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8024C" w:rsidRPr="0048024C" w:rsidRDefault="0048024C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CS"/>
        </w:rPr>
        <w:t>SEKRETAR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</w:p>
    <w:p w:rsidR="008D686B" w:rsidRPr="0048024C" w:rsidRDefault="008D686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8D686B">
      <w:pPr>
        <w:tabs>
          <w:tab w:val="left" w:pos="1683"/>
        </w:tabs>
        <w:spacing w:after="0" w:line="240" w:lineRule="auto"/>
        <w:rPr>
          <w:sz w:val="24"/>
          <w:szCs w:val="24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AC6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Hana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Butković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AC608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C6089"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</w:p>
    <w:sectPr w:rsidR="0038658B" w:rsidRPr="0048024C" w:rsidSect="00386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27A" w:rsidRDefault="00DD627A" w:rsidP="0038658B">
      <w:pPr>
        <w:spacing w:after="0" w:line="240" w:lineRule="auto"/>
      </w:pPr>
      <w:r>
        <w:separator/>
      </w:r>
    </w:p>
  </w:endnote>
  <w:endnote w:type="continuationSeparator" w:id="0">
    <w:p w:rsidR="00DD627A" w:rsidRDefault="00DD627A" w:rsidP="0038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89" w:rsidRDefault="00AC6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89" w:rsidRDefault="00AC60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89" w:rsidRDefault="00AC6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27A" w:rsidRDefault="00DD627A" w:rsidP="0038658B">
      <w:pPr>
        <w:spacing w:after="0" w:line="240" w:lineRule="auto"/>
      </w:pPr>
      <w:r>
        <w:separator/>
      </w:r>
    </w:p>
  </w:footnote>
  <w:footnote w:type="continuationSeparator" w:id="0">
    <w:p w:rsidR="00DD627A" w:rsidRDefault="00DD627A" w:rsidP="0038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89" w:rsidRDefault="00AC6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1069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658B" w:rsidRDefault="003865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08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8658B" w:rsidRDefault="00386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89" w:rsidRDefault="00AC6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7A4"/>
    <w:multiLevelType w:val="hybridMultilevel"/>
    <w:tmpl w:val="5CF00160"/>
    <w:lvl w:ilvl="0" w:tplc="53122BCA">
      <w:start w:val="2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6142D2"/>
    <w:multiLevelType w:val="hybridMultilevel"/>
    <w:tmpl w:val="E6F01FD4"/>
    <w:lvl w:ilvl="0" w:tplc="68A4B1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795587"/>
    <w:multiLevelType w:val="hybridMultilevel"/>
    <w:tmpl w:val="DE609782"/>
    <w:lvl w:ilvl="0" w:tplc="3E3AC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8B"/>
    <w:rsid w:val="00023280"/>
    <w:rsid w:val="00052DA0"/>
    <w:rsid w:val="000B72FF"/>
    <w:rsid w:val="000F7C3F"/>
    <w:rsid w:val="001850D0"/>
    <w:rsid w:val="001C6D9D"/>
    <w:rsid w:val="001E7DC9"/>
    <w:rsid w:val="002217F7"/>
    <w:rsid w:val="00222163"/>
    <w:rsid w:val="00222681"/>
    <w:rsid w:val="0022506A"/>
    <w:rsid w:val="002515DE"/>
    <w:rsid w:val="00263452"/>
    <w:rsid w:val="00267074"/>
    <w:rsid w:val="00271B46"/>
    <w:rsid w:val="0029151C"/>
    <w:rsid w:val="00314324"/>
    <w:rsid w:val="0032419E"/>
    <w:rsid w:val="00330A19"/>
    <w:rsid w:val="00353FD3"/>
    <w:rsid w:val="0038658B"/>
    <w:rsid w:val="00387217"/>
    <w:rsid w:val="004119D9"/>
    <w:rsid w:val="00413F16"/>
    <w:rsid w:val="00445212"/>
    <w:rsid w:val="004754A5"/>
    <w:rsid w:val="0048024C"/>
    <w:rsid w:val="004A28D4"/>
    <w:rsid w:val="004C1D8F"/>
    <w:rsid w:val="0053285D"/>
    <w:rsid w:val="005338E9"/>
    <w:rsid w:val="0054668C"/>
    <w:rsid w:val="005546DA"/>
    <w:rsid w:val="005C3A66"/>
    <w:rsid w:val="005C4BC9"/>
    <w:rsid w:val="005C572F"/>
    <w:rsid w:val="006044E1"/>
    <w:rsid w:val="00636275"/>
    <w:rsid w:val="00655B0D"/>
    <w:rsid w:val="0068074A"/>
    <w:rsid w:val="00684B15"/>
    <w:rsid w:val="00692873"/>
    <w:rsid w:val="006A2626"/>
    <w:rsid w:val="006D407C"/>
    <w:rsid w:val="00701DE4"/>
    <w:rsid w:val="007132A2"/>
    <w:rsid w:val="0071749A"/>
    <w:rsid w:val="007230B6"/>
    <w:rsid w:val="0074571D"/>
    <w:rsid w:val="0075272E"/>
    <w:rsid w:val="00775003"/>
    <w:rsid w:val="00784045"/>
    <w:rsid w:val="00823F77"/>
    <w:rsid w:val="0087285A"/>
    <w:rsid w:val="008A122B"/>
    <w:rsid w:val="008B1088"/>
    <w:rsid w:val="008C21C4"/>
    <w:rsid w:val="008D686B"/>
    <w:rsid w:val="008E6444"/>
    <w:rsid w:val="008F6DD0"/>
    <w:rsid w:val="00920E0B"/>
    <w:rsid w:val="0095225A"/>
    <w:rsid w:val="009E2E18"/>
    <w:rsid w:val="009F1088"/>
    <w:rsid w:val="00A15195"/>
    <w:rsid w:val="00AC6089"/>
    <w:rsid w:val="00B34737"/>
    <w:rsid w:val="00B91FE1"/>
    <w:rsid w:val="00B94D47"/>
    <w:rsid w:val="00BA2CBD"/>
    <w:rsid w:val="00BE3D23"/>
    <w:rsid w:val="00BF7323"/>
    <w:rsid w:val="00C00EA5"/>
    <w:rsid w:val="00C05C85"/>
    <w:rsid w:val="00C12529"/>
    <w:rsid w:val="00C3687E"/>
    <w:rsid w:val="00C43FF9"/>
    <w:rsid w:val="00C720D0"/>
    <w:rsid w:val="00C72390"/>
    <w:rsid w:val="00C90217"/>
    <w:rsid w:val="00CB1B94"/>
    <w:rsid w:val="00D11220"/>
    <w:rsid w:val="00D12CBE"/>
    <w:rsid w:val="00D136C9"/>
    <w:rsid w:val="00D17427"/>
    <w:rsid w:val="00D2136A"/>
    <w:rsid w:val="00D6295F"/>
    <w:rsid w:val="00DA4E1D"/>
    <w:rsid w:val="00DC7D0B"/>
    <w:rsid w:val="00DD26C7"/>
    <w:rsid w:val="00DD627A"/>
    <w:rsid w:val="00DE1F3B"/>
    <w:rsid w:val="00DE2135"/>
    <w:rsid w:val="00E166D0"/>
    <w:rsid w:val="00EB0A47"/>
    <w:rsid w:val="00EB2458"/>
    <w:rsid w:val="00EB2F51"/>
    <w:rsid w:val="00F0639A"/>
    <w:rsid w:val="00F736DB"/>
    <w:rsid w:val="00FB133A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24143"/>
  <w15:chartTrackingRefBased/>
  <w15:docId w15:val="{9404FC40-69BE-4EC8-8F1B-C96CD30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8B"/>
  </w:style>
  <w:style w:type="paragraph" w:styleId="Footer">
    <w:name w:val="footer"/>
    <w:basedOn w:val="Normal"/>
    <w:link w:val="FooterChar"/>
    <w:uiPriority w:val="99"/>
    <w:unhideWhenUsed/>
    <w:rsid w:val="0038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8B"/>
  </w:style>
  <w:style w:type="paragraph" w:styleId="ListParagraph">
    <w:name w:val="List Paragraph"/>
    <w:basedOn w:val="Normal"/>
    <w:uiPriority w:val="34"/>
    <w:qFormat/>
    <w:rsid w:val="00480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515D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NormalWeb">
    <w:name w:val="Normal (Web)"/>
    <w:basedOn w:val="Normal"/>
    <w:uiPriority w:val="99"/>
    <w:unhideWhenUsed/>
    <w:rsid w:val="002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10</Pages>
  <Words>5342</Words>
  <Characters>30451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Sandra Stankovic</cp:lastModifiedBy>
  <cp:revision>52</cp:revision>
  <dcterms:created xsi:type="dcterms:W3CDTF">2024-10-10T08:13:00Z</dcterms:created>
  <dcterms:modified xsi:type="dcterms:W3CDTF">2025-11-28T13:13:00Z</dcterms:modified>
</cp:coreProperties>
</file>